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E79"/>
          <w:sz w:val="52"/>
        </w:rPr>
        <w:t>HELIX INTEL</w:t>
      </w:r>
    </w:p>
    <w:p>
      <w:pPr>
        <w:spacing w:after="120"/>
      </w:pPr>
      <w:r>
        <w:rPr>
          <w:rFonts w:ascii="Arial" w:hAnsi="Arial"/>
          <w:color w:val="2E75B6"/>
          <w:sz w:val="36"/>
        </w:rPr>
        <w:t>Macro Forecast Report</w:t>
      </w:r>
    </w:p>
    <w:p>
      <w:pPr>
        <w:spacing w:after="40"/>
      </w:pPr>
      <w:r>
        <w:rPr>
          <w:rFonts w:ascii="Arial" w:hAnsi="Arial"/>
          <w:b/>
          <w:color w:val="404040"/>
          <w:sz w:val="19"/>
        </w:rPr>
        <w:t>As-of Date: 06/05/26     Horizon: 3m     Schema: 0.1.0</w:t>
      </w:r>
    </w:p>
    <w:p>
      <w:pPr>
        <w:spacing w:after="200"/>
      </w:pPr>
      <w:r>
        <w:rPr>
          <w:rFonts w:ascii="Arial" w:hAnsi="Arial"/>
          <w:color w:val="808080"/>
          <w:sz w:val="16"/>
        </w:rPr>
        <w:t>Created At: 07/02/26     Forecast ID: unsaved</w:t>
      </w:r>
    </w:p>
    <w:p>
      <w:pPr>
        <w:spacing w:before="320" w:after="140"/>
      </w:pPr>
      <w:r>
        <w:rPr>
          <w:rFonts w:ascii="Arial" w:hAnsi="Arial"/>
          <w:b/>
          <w:color w:val="1F4E79"/>
          <w:sz w:val="28"/>
        </w:rPr>
        <w:t>Forecast Interpretation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Headline</w:t>
            </w:r>
          </w:p>
        </w:tc>
        <w:tc>
          <w:tcPr>
            <w:tcW w:type="dxa" w:w="11520"/>
            <w:vAlign w:val="top"/>
          </w:tcPr>
          <w:p>
            <w:pPr>
              <w:spacing w:after="20" w:line="240" w:lineRule="auto"/>
            </w:pPr>
            <w:r>
              <w:rPr>
                <w:rFonts w:ascii="Arial" w:hAnsi="Arial"/>
                <w:b w:val="0"/>
                <w:color w:val="595959"/>
                <w:sz w:val="15"/>
              </w:rPr>
              <w:t>Forecast favors reopening soft landing and broader market participation.</w:t>
            </w:r>
          </w:p>
        </w:tc>
      </w:tr>
      <w:tr>
        <w:tc>
          <w:tcPr>
            <w:tcW w:type="dxa" w:w="2160"/>
            <w:shd w:fill="EAF2F8"/>
            <w:vAlign w:val="top"/>
          </w:tcPr>
          <w:p>
            <w:pPr>
              <w:spacing w:after="20" w:line="240" w:lineRule="auto"/>
            </w:pPr>
            <w:r>
              <w:rPr>
                <w:rFonts w:ascii="Arial" w:hAnsi="Arial"/>
                <w:b/>
                <w:color w:val="1F4E79"/>
                <w:sz w:val="15"/>
              </w:rPr>
              <w:t>Summary</w:t>
            </w:r>
          </w:p>
        </w:tc>
        <w:tc>
          <w:tcPr>
            <w:tcW w:type="dxa" w:w="11520"/>
            <w:vAlign w:val="top"/>
          </w:tcPr>
          <w:p>
            <w:pPr>
              <w:spacing w:after="20" w:line="240" w:lineRule="auto"/>
            </w:pPr>
            <w:r>
              <w:rPr>
                <w:rFonts w:ascii="Arial" w:hAnsi="Arial"/>
                <w:b w:val="0"/>
                <w:color w:val="595959"/>
                <w:sz w:val="15"/>
              </w:rPr>
              <w:t>The model assigns the highest probability to Reopening / Soft Landing at 36.2%; runner-up sticky_late_cycle_ai at 34.1%. The largest displayed deterministic driver is Breadth and participation (-0.297). Healthy credit can keep the regime from becoming fully risk-off, while weak breadth, restrictive Fed pricing, and resilient AI earnings determine whether leadership stays narrow. Reported scenario probabilities are historically calibrated after the deterministic update.</w:t>
            </w:r>
          </w:p>
        </w:tc>
      </w:tr>
      <w:tr>
        <w:tc>
          <w:tcPr>
            <w:tcW w:type="dxa" w:w="2160"/>
            <w:shd w:fill="EAF2F8"/>
            <w:vAlign w:val="top"/>
          </w:tcPr>
          <w:p>
            <w:pPr>
              <w:spacing w:after="20" w:line="240" w:lineRule="auto"/>
            </w:pPr>
            <w:r>
              <w:rPr>
                <w:rFonts w:ascii="Arial" w:hAnsi="Arial"/>
                <w:b/>
                <w:color w:val="1F4E79"/>
                <w:sz w:val="15"/>
              </w:rPr>
              <w:t>Dominant Scenario</w:t>
            </w:r>
          </w:p>
        </w:tc>
        <w:tc>
          <w:tcPr>
            <w:tcW w:type="dxa" w:w="11520"/>
            <w:vAlign w:val="top"/>
          </w:tcPr>
          <w:p>
            <w:pPr>
              <w:spacing w:after="20" w:line="240" w:lineRule="auto"/>
            </w:pPr>
            <w:r>
              <w:rPr>
                <w:rFonts w:ascii="Arial" w:hAnsi="Arial"/>
                <w:b w:val="0"/>
                <w:color w:val="595959"/>
                <w:sz w:val="15"/>
              </w:rPr>
              <w:t>Reopening / Soft Landing (36.19%)</w:t>
            </w:r>
          </w:p>
        </w:tc>
      </w:tr>
      <w:tr>
        <w:tc>
          <w:tcPr>
            <w:tcW w:type="dxa" w:w="2160"/>
            <w:shd w:fill="EAF2F8"/>
            <w:vAlign w:val="top"/>
          </w:tcPr>
          <w:p>
            <w:pPr>
              <w:spacing w:after="20" w:line="240" w:lineRule="auto"/>
            </w:pPr>
            <w:r>
              <w:rPr>
                <w:rFonts w:ascii="Arial" w:hAnsi="Arial"/>
                <w:b/>
                <w:color w:val="1F4E79"/>
                <w:sz w:val="15"/>
              </w:rPr>
              <w:t>Confidence Level</w:t>
            </w:r>
          </w:p>
        </w:tc>
        <w:tc>
          <w:tcPr>
            <w:tcW w:type="dxa" w:w="11520"/>
            <w:vAlign w:val="top"/>
          </w:tcPr>
          <w:p>
            <w:pPr>
              <w:spacing w:after="20" w:line="240" w:lineRule="auto"/>
            </w:pPr>
            <w:r>
              <w:rPr>
                <w:rFonts w:ascii="Arial" w:hAnsi="Arial"/>
                <w:b w:val="0"/>
                <w:color w:val="595959"/>
                <w:sz w:val="15"/>
              </w:rPr>
              <w:t>low</w:t>
            </w:r>
          </w:p>
        </w:tc>
      </w:tr>
      <w:tr>
        <w:tc>
          <w:tcPr>
            <w:tcW w:type="dxa" w:w="2160"/>
            <w:shd w:fill="EAF2F8"/>
            <w:vAlign w:val="top"/>
          </w:tcPr>
          <w:p>
            <w:pPr>
              <w:spacing w:after="20" w:line="240" w:lineRule="auto"/>
            </w:pPr>
            <w:r>
              <w:rPr>
                <w:rFonts w:ascii="Arial" w:hAnsi="Arial"/>
                <w:b/>
                <w:color w:val="1F4E79"/>
                <w:sz w:val="15"/>
              </w:rPr>
              <w:t>Confidence Rationale</w:t>
            </w:r>
          </w:p>
        </w:tc>
        <w:tc>
          <w:tcPr>
            <w:tcW w:type="dxa" w:w="11520"/>
            <w:vAlign w:val="top"/>
          </w:tcPr>
          <w:p>
            <w:pPr>
              <w:spacing w:after="20" w:line="240" w:lineRule="auto"/>
            </w:pPr>
            <w:r>
              <w:rPr>
                <w:rFonts w:ascii="Arial" w:hAnsi="Arial"/>
                <w:b w:val="0"/>
                <w:color w:val="595959"/>
                <w:sz w:val="15"/>
              </w:rPr>
              <w:t>Dominant scenario probability is 36.2% with a 2.1% gap to the next scenario; floors keep tail scenarios alive. Probability mode is historically calibrated.</w:t>
            </w:r>
          </w:p>
        </w:tc>
      </w:tr>
      <w:tr>
        <w:tc>
          <w:tcPr>
            <w:tcW w:type="dxa" w:w="2160"/>
            <w:shd w:fill="EAF2F8"/>
            <w:vAlign w:val="top"/>
          </w:tcPr>
          <w:p>
            <w:pPr>
              <w:spacing w:after="20" w:line="240" w:lineRule="auto"/>
            </w:pPr>
            <w:r>
              <w:rPr>
                <w:rFonts w:ascii="Arial" w:hAnsi="Arial"/>
                <w:b/>
                <w:color w:val="1F4E79"/>
                <w:sz w:val="15"/>
              </w:rPr>
              <w:t>Preferred Exposures</w:t>
            </w:r>
          </w:p>
        </w:tc>
        <w:tc>
          <w:tcPr>
            <w:tcW w:type="dxa" w:w="11520"/>
            <w:vAlign w:val="top"/>
          </w:tcPr>
          <w:p>
            <w:pPr>
              <w:spacing w:after="20" w:line="240" w:lineRule="auto"/>
            </w:pPr>
            <w:r>
              <w:rPr>
                <w:rFonts w:ascii="Arial" w:hAnsi="Arial"/>
                <w:b w:val="0"/>
                <w:color w:val="595959"/>
                <w:sz w:val="15"/>
              </w:rPr>
              <w:t>Grid and power infrastructure, Quality ex-AI cash flow, Quality AI leaders, Cash and short duration, Commodities and real assets, Quality, Defensive factor, Cash and carry</w:t>
            </w:r>
          </w:p>
        </w:tc>
      </w:tr>
      <w:tr>
        <w:tc>
          <w:tcPr>
            <w:tcW w:type="dxa" w:w="2160"/>
            <w:shd w:fill="EAF2F8"/>
            <w:vAlign w:val="top"/>
          </w:tcPr>
          <w:p>
            <w:pPr>
              <w:spacing w:after="20" w:line="240" w:lineRule="auto"/>
            </w:pPr>
            <w:r>
              <w:rPr>
                <w:rFonts w:ascii="Arial" w:hAnsi="Arial"/>
                <w:b/>
                <w:color w:val="1F4E79"/>
                <w:sz w:val="15"/>
              </w:rPr>
              <w:t>Exposures To Avoid</w:t>
            </w:r>
          </w:p>
        </w:tc>
        <w:tc>
          <w:tcPr>
            <w:tcW w:type="dxa" w:w="11520"/>
            <w:vAlign w:val="top"/>
          </w:tcPr>
          <w:p>
            <w:pPr>
              <w:spacing w:after="20" w:line="240" w:lineRule="auto"/>
            </w:pPr>
            <w:r>
              <w:rPr>
                <w:rFonts w:ascii="Arial" w:hAnsi="Arial"/>
                <w:b w:val="0"/>
                <w:color w:val="595959"/>
                <w:sz w:val="15"/>
              </w:rPr>
              <w:t>Small caps, Long-duration growth, High-beta AI semiconductors, High beta growth, Duration sensitivity, Small-cap beta</w:t>
            </w:r>
          </w:p>
        </w:tc>
      </w:tr>
      <w:tr>
        <w:tc>
          <w:tcPr>
            <w:tcW w:type="dxa" w:w="2160"/>
            <w:shd w:fill="EAF2F8"/>
            <w:vAlign w:val="top"/>
          </w:tcPr>
          <w:p>
            <w:pPr>
              <w:spacing w:after="20" w:line="240" w:lineRule="auto"/>
            </w:pPr>
            <w:r>
              <w:rPr>
                <w:rFonts w:ascii="Arial" w:hAnsi="Arial"/>
                <w:b/>
                <w:color w:val="1F4E79"/>
                <w:sz w:val="15"/>
              </w:rPr>
              <w:t>Key Tensions</w:t>
            </w:r>
          </w:p>
        </w:tc>
        <w:tc>
          <w:tcPr>
            <w:tcW w:type="dxa" w:w="11520"/>
            <w:vAlign w:val="top"/>
          </w:tcPr>
          <w:p>
            <w:pPr>
              <w:spacing w:after="20" w:line="240" w:lineRule="auto"/>
            </w:pPr>
            <w:r>
              <w:rPr>
                <w:rFonts w:ascii="Arial" w:hAnsi="Arial"/>
                <w:b w:val="0"/>
                <w:color w:val="C00000"/>
                <w:sz w:val="15"/>
              </w:rPr>
              <w:t>- Credit is healthy but breadth is weak or narrow.</w:t>
              <w:br/>
              <w:t>- Fed path remains restrictive despite some monetary-layer improvement.</w:t>
              <w:br/>
              <w:t>- Oil risk remains two-sided between inflation pressure and reopening relief.</w:t>
              <w:br/>
              <w:t>- AI earnings are resilient, but the AI capex rollover tail retains a probability floor.</w:t>
            </w:r>
          </w:p>
        </w:tc>
      </w:tr>
    </w:tbl>
    <w:p>
      <w:pPr>
        <w:spacing w:after="120"/>
      </w:pPr>
    </w:p>
    <w:p>
      <w:pPr>
        <w:spacing w:before="320" w:after="140"/>
      </w:pPr>
      <w:r>
        <w:rPr>
          <w:rFonts w:ascii="Arial" w:hAnsi="Arial"/>
          <w:b/>
          <w:color w:val="1F4E79"/>
          <w:sz w:val="28"/>
        </w:rPr>
        <w:t>Scenario Probabilities</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936"/>
            <w:shd w:fill="1F4E79"/>
            <w:vAlign w:val="top"/>
          </w:tcPr>
          <w:p>
            <w:pPr>
              <w:spacing w:after="20" w:line="240" w:lineRule="auto"/>
            </w:pPr>
            <w:r>
              <w:rPr>
                <w:rFonts w:ascii="Arial" w:hAnsi="Arial"/>
                <w:b/>
                <w:color w:val="FFFFFF"/>
                <w:sz w:val="15"/>
              </w:rPr>
              <w:t>Prior</w:t>
            </w:r>
          </w:p>
        </w:tc>
        <w:tc>
          <w:tcPr>
            <w:tcW w:type="dxa" w:w="1296"/>
            <w:shd w:fill="1F4E79"/>
            <w:vAlign w:val="top"/>
          </w:tcPr>
          <w:p>
            <w:pPr>
              <w:spacing w:after="20" w:line="240" w:lineRule="auto"/>
            </w:pPr>
            <w:r>
              <w:rPr>
                <w:rFonts w:ascii="Arial" w:hAnsi="Arial"/>
                <w:b/>
                <w:color w:val="FFFFFF"/>
                <w:sz w:val="15"/>
              </w:rPr>
              <w:t>Deterministic Posterior</w:t>
            </w:r>
          </w:p>
        </w:tc>
        <w:tc>
          <w:tcPr>
            <w:tcW w:type="dxa" w:w="1440"/>
            <w:shd w:fill="1F4E79"/>
            <w:vAlign w:val="top"/>
          </w:tcPr>
          <w:p>
            <w:pPr>
              <w:spacing w:after="20" w:line="240" w:lineRule="auto"/>
            </w:pPr>
            <w:r>
              <w:rPr>
                <w:rFonts w:ascii="Arial" w:hAnsi="Arial"/>
                <w:b/>
                <w:color w:val="FFFFFF"/>
                <w:sz w:val="15"/>
              </w:rPr>
              <w:t>Historical Analogue Probability</w:t>
            </w:r>
          </w:p>
        </w:tc>
        <w:tc>
          <w:tcPr>
            <w:tcW w:type="dxa" w:w="1296"/>
            <w:shd w:fill="1F4E79"/>
            <w:vAlign w:val="top"/>
          </w:tcPr>
          <w:p>
            <w:pPr>
              <w:spacing w:after="20" w:line="240" w:lineRule="auto"/>
            </w:pPr>
            <w:r>
              <w:rPr>
                <w:rFonts w:ascii="Arial" w:hAnsi="Arial"/>
                <w:b/>
                <w:color w:val="FFFFFF"/>
                <w:sz w:val="15"/>
              </w:rPr>
              <w:t>Blended Posterior</w:t>
            </w:r>
          </w:p>
        </w:tc>
        <w:tc>
          <w:tcPr>
            <w:tcW w:type="dxa" w:w="1080"/>
            <w:shd w:fill="1F4E79"/>
            <w:vAlign w:val="top"/>
          </w:tcPr>
          <w:p>
            <w:pPr>
              <w:spacing w:after="20" w:line="240" w:lineRule="auto"/>
            </w:pPr>
            <w:r>
              <w:rPr>
                <w:rFonts w:ascii="Arial" w:hAnsi="Arial"/>
                <w:b/>
                <w:color w:val="FFFFFF"/>
                <w:sz w:val="15"/>
              </w:rPr>
              <w:t>Change vs Prior</w:t>
            </w:r>
          </w:p>
        </w:tc>
        <w:tc>
          <w:tcPr>
            <w:tcW w:type="dxa" w:w="1152"/>
            <w:shd w:fill="1F4E79"/>
            <w:vAlign w:val="top"/>
          </w:tcPr>
          <w:p>
            <w:pPr>
              <w:spacing w:after="20" w:line="240" w:lineRule="auto"/>
            </w:pPr>
            <w:r>
              <w:rPr>
                <w:rFonts w:ascii="Arial" w:hAnsi="Arial"/>
                <w:b/>
                <w:color w:val="FFFFFF"/>
                <w:sz w:val="15"/>
              </w:rPr>
              <w:t>Floor/Cap</w:t>
            </w:r>
          </w:p>
        </w:tc>
        <w:tc>
          <w:tcPr>
            <w:tcW w:type="dxa" w:w="3096"/>
            <w:shd w:fill="1F4E79"/>
            <w:vAlign w:val="top"/>
          </w:tcPr>
          <w:p>
            <w:pPr>
              <w:spacing w:after="20" w:line="240" w:lineRule="auto"/>
            </w:pPr>
            <w:r>
              <w:rPr>
                <w:rFonts w:ascii="Arial" w:hAnsi="Arial"/>
                <w:b/>
                <w:color w:val="FFFFFF"/>
                <w:sz w:val="15"/>
              </w:rPr>
              <w:t>Top Driver</w:t>
            </w:r>
          </w:p>
        </w:tc>
      </w:tr>
      <w:tr>
        <w:tc>
          <w:tcPr>
            <w:tcW w:type="dxa" w:w="2088"/>
            <w:vAlign w:val="top"/>
          </w:tcPr>
          <w:p>
            <w:pPr>
              <w:spacing w:after="20" w:line="240" w:lineRule="auto"/>
            </w:pPr>
            <w:r>
              <w:rPr>
                <w:rFonts w:ascii="Arial" w:hAnsi="Arial"/>
                <w:b w:val="0"/>
                <w:color w:val="595959"/>
                <w:sz w:val="15"/>
              </w:rPr>
              <w:t>Reopening / Soft Landing</w:t>
            </w:r>
          </w:p>
        </w:tc>
        <w:tc>
          <w:tcPr>
            <w:tcW w:type="dxa" w:w="936"/>
            <w:vAlign w:val="top"/>
          </w:tcPr>
          <w:p>
            <w:pPr>
              <w:spacing w:after="20" w:line="240" w:lineRule="auto"/>
            </w:pPr>
            <w:r>
              <w:rPr>
                <w:rFonts w:ascii="Arial" w:hAnsi="Arial"/>
                <w:b w:val="0"/>
                <w:color w:val="595959"/>
                <w:sz w:val="15"/>
              </w:rPr>
              <w:t>40.00%</w:t>
            </w:r>
          </w:p>
        </w:tc>
        <w:tc>
          <w:tcPr>
            <w:tcW w:type="dxa" w:w="1296"/>
            <w:vAlign w:val="top"/>
          </w:tcPr>
          <w:p>
            <w:pPr>
              <w:spacing w:after="20" w:line="240" w:lineRule="auto"/>
            </w:pPr>
            <w:r>
              <w:rPr>
                <w:rFonts w:ascii="Arial" w:hAnsi="Arial"/>
                <w:b w:val="0"/>
                <w:color w:val="595959"/>
                <w:sz w:val="15"/>
              </w:rPr>
              <w:t>47.12%</w:t>
            </w:r>
          </w:p>
        </w:tc>
        <w:tc>
          <w:tcPr>
            <w:tcW w:type="dxa" w:w="1440"/>
            <w:vAlign w:val="top"/>
          </w:tcPr>
          <w:p>
            <w:pPr>
              <w:spacing w:after="20" w:line="240" w:lineRule="auto"/>
            </w:pPr>
            <w:r>
              <w:rPr>
                <w:rFonts w:ascii="Arial" w:hAnsi="Arial"/>
                <w:b w:val="0"/>
                <w:color w:val="595959"/>
                <w:sz w:val="15"/>
              </w:rPr>
              <w:t>10.69%</w:t>
            </w:r>
          </w:p>
        </w:tc>
        <w:tc>
          <w:tcPr>
            <w:tcW w:type="dxa" w:w="1296"/>
            <w:vAlign w:val="top"/>
          </w:tcPr>
          <w:p>
            <w:pPr>
              <w:spacing w:after="20" w:line="240" w:lineRule="auto"/>
            </w:pPr>
            <w:r>
              <w:rPr>
                <w:rFonts w:ascii="Arial" w:hAnsi="Arial"/>
                <w:b w:val="0"/>
                <w:color w:val="595959"/>
                <w:sz w:val="15"/>
              </w:rPr>
              <w:t>36.19%</w:t>
            </w:r>
          </w:p>
        </w:tc>
        <w:tc>
          <w:tcPr>
            <w:tcW w:type="dxa" w:w="1080"/>
            <w:vAlign w:val="top"/>
          </w:tcPr>
          <w:p>
            <w:pPr>
              <w:spacing w:after="20" w:line="240" w:lineRule="auto"/>
            </w:pPr>
            <w:r>
              <w:rPr>
                <w:rFonts w:ascii="Arial" w:hAnsi="Arial"/>
                <w:b w:val="0"/>
                <w:color w:val="C00000"/>
                <w:sz w:val="15"/>
              </w:rPr>
              <w:t>-3.81%</w:t>
            </w:r>
          </w:p>
        </w:tc>
        <w:tc>
          <w:tcPr>
            <w:tcW w:type="dxa" w:w="1152"/>
            <w:vAlign w:val="top"/>
          </w:tcPr>
          <w:p>
            <w:pPr>
              <w:spacing w:after="20" w:line="240" w:lineRule="auto"/>
            </w:pPr>
            <w:r>
              <w:rPr>
                <w:rFonts w:ascii="Arial" w:hAnsi="Arial"/>
                <w:b w:val="0"/>
                <w:color w:val="595959"/>
                <w:sz w:val="15"/>
              </w:rPr>
              <w:t>-</w:t>
            </w:r>
          </w:p>
        </w:tc>
        <w:tc>
          <w:tcPr>
            <w:tcW w:type="dxa" w:w="3096"/>
            <w:vAlign w:val="top"/>
          </w:tcPr>
          <w:p>
            <w:pPr>
              <w:spacing w:after="20" w:line="240" w:lineRule="auto"/>
            </w:pPr>
            <w:r>
              <w:rPr>
                <w:rFonts w:ascii="Arial" w:hAnsi="Arial"/>
                <w:b w:val="0"/>
                <w:color w:val="595959"/>
                <w:sz w:val="15"/>
              </w:rPr>
              <w:t>Breadth and participation (-0.30)</w:t>
            </w:r>
          </w:p>
        </w:tc>
      </w:tr>
      <w:tr>
        <w:tc>
          <w:tcPr>
            <w:tcW w:type="dxa" w:w="2088"/>
            <w:shd w:fill="F7F9FC"/>
            <w:vAlign w:val="top"/>
          </w:tcPr>
          <w:p>
            <w:pPr>
              <w:spacing w:after="20" w:line="240" w:lineRule="auto"/>
            </w:pPr>
            <w:r>
              <w:rPr>
                <w:rFonts w:ascii="Arial" w:hAnsi="Arial"/>
                <w:b w:val="0"/>
                <w:color w:val="595959"/>
                <w:sz w:val="15"/>
              </w:rPr>
              <w:t>Sticky Late Cycle AI</w:t>
            </w:r>
          </w:p>
        </w:tc>
        <w:tc>
          <w:tcPr>
            <w:tcW w:type="dxa" w:w="936"/>
            <w:shd w:fill="F7F9FC"/>
            <w:vAlign w:val="top"/>
          </w:tcPr>
          <w:p>
            <w:pPr>
              <w:spacing w:after="20" w:line="240" w:lineRule="auto"/>
            </w:pPr>
            <w:r>
              <w:rPr>
                <w:rFonts w:ascii="Arial" w:hAnsi="Arial"/>
                <w:b w:val="0"/>
                <w:color w:val="595959"/>
                <w:sz w:val="15"/>
              </w:rPr>
              <w:t>17.00%</w:t>
            </w:r>
          </w:p>
        </w:tc>
        <w:tc>
          <w:tcPr>
            <w:tcW w:type="dxa" w:w="1296"/>
            <w:shd w:fill="F7F9FC"/>
            <w:vAlign w:val="top"/>
          </w:tcPr>
          <w:p>
            <w:pPr>
              <w:spacing w:after="20" w:line="240" w:lineRule="auto"/>
            </w:pPr>
            <w:r>
              <w:rPr>
                <w:rFonts w:ascii="Arial" w:hAnsi="Arial"/>
                <w:b w:val="0"/>
                <w:color w:val="595959"/>
                <w:sz w:val="15"/>
              </w:rPr>
              <w:t>31.48%</w:t>
            </w:r>
          </w:p>
        </w:tc>
        <w:tc>
          <w:tcPr>
            <w:tcW w:type="dxa" w:w="1440"/>
            <w:shd w:fill="F7F9FC"/>
            <w:vAlign w:val="top"/>
          </w:tcPr>
          <w:p>
            <w:pPr>
              <w:spacing w:after="20" w:line="240" w:lineRule="auto"/>
            </w:pPr>
            <w:r>
              <w:rPr>
                <w:rFonts w:ascii="Arial" w:hAnsi="Arial"/>
                <w:b w:val="0"/>
                <w:color w:val="595959"/>
                <w:sz w:val="15"/>
              </w:rPr>
              <w:t>40.21%</w:t>
            </w:r>
          </w:p>
        </w:tc>
        <w:tc>
          <w:tcPr>
            <w:tcW w:type="dxa" w:w="1296"/>
            <w:shd w:fill="F7F9FC"/>
            <w:vAlign w:val="top"/>
          </w:tcPr>
          <w:p>
            <w:pPr>
              <w:spacing w:after="20" w:line="240" w:lineRule="auto"/>
            </w:pPr>
            <w:r>
              <w:rPr>
                <w:rFonts w:ascii="Arial" w:hAnsi="Arial"/>
                <w:b w:val="0"/>
                <w:color w:val="595959"/>
                <w:sz w:val="15"/>
              </w:rPr>
              <w:t>34.10%</w:t>
            </w:r>
          </w:p>
        </w:tc>
        <w:tc>
          <w:tcPr>
            <w:tcW w:type="dxa" w:w="1080"/>
            <w:shd w:fill="F7F9FC"/>
            <w:vAlign w:val="top"/>
          </w:tcPr>
          <w:p>
            <w:pPr>
              <w:spacing w:after="20" w:line="240" w:lineRule="auto"/>
            </w:pPr>
            <w:r>
              <w:rPr>
                <w:rFonts w:ascii="Arial" w:hAnsi="Arial"/>
                <w:b w:val="0"/>
                <w:color w:val="595959"/>
                <w:sz w:val="15"/>
              </w:rPr>
              <w:t>17.10%</w:t>
            </w:r>
          </w:p>
        </w:tc>
        <w:tc>
          <w:tcPr>
            <w:tcW w:type="dxa" w:w="1152"/>
            <w:shd w:fill="F7F9FC"/>
            <w:vAlign w:val="top"/>
          </w:tcPr>
          <w:p>
            <w:pPr>
              <w:spacing w:after="20" w:line="240" w:lineRule="auto"/>
            </w:pPr>
            <w:r>
              <w:rPr>
                <w:rFonts w:ascii="Arial" w:hAnsi="Arial"/>
                <w:b w:val="0"/>
                <w:color w:val="595959"/>
                <w:sz w:val="15"/>
              </w:rPr>
              <w:t>-</w:t>
            </w:r>
          </w:p>
        </w:tc>
        <w:tc>
          <w:tcPr>
            <w:tcW w:type="dxa" w:w="3096"/>
            <w:shd w:fill="F7F9FC"/>
            <w:vAlign w:val="top"/>
          </w:tcPr>
          <w:p>
            <w:pPr>
              <w:spacing w:after="20" w:line="240" w:lineRule="auto"/>
            </w:pPr>
            <w:r>
              <w:rPr>
                <w:rFonts w:ascii="Arial" w:hAnsi="Arial"/>
                <w:b w:val="0"/>
                <w:color w:val="595959"/>
                <w:sz w:val="15"/>
              </w:rPr>
              <w:t>AI earnings resilience (+0.52)</w:t>
            </w:r>
          </w:p>
        </w:tc>
      </w:tr>
      <w:tr>
        <w:tc>
          <w:tcPr>
            <w:tcW w:type="dxa" w:w="2088"/>
            <w:vAlign w:val="top"/>
          </w:tcPr>
          <w:p>
            <w:pPr>
              <w:spacing w:after="20" w:line="240" w:lineRule="auto"/>
            </w:pPr>
            <w:r>
              <w:rPr>
                <w:rFonts w:ascii="Arial" w:hAnsi="Arial"/>
                <w:b w:val="0"/>
                <w:color w:val="595959"/>
                <w:sz w:val="15"/>
              </w:rPr>
              <w:t>Oil Inflation Tail</w:t>
            </w:r>
          </w:p>
        </w:tc>
        <w:tc>
          <w:tcPr>
            <w:tcW w:type="dxa" w:w="936"/>
            <w:vAlign w:val="top"/>
          </w:tcPr>
          <w:p>
            <w:pPr>
              <w:spacing w:after="20" w:line="240" w:lineRule="auto"/>
            </w:pPr>
            <w:r>
              <w:rPr>
                <w:rFonts w:ascii="Arial" w:hAnsi="Arial"/>
                <w:b w:val="0"/>
                <w:color w:val="595959"/>
                <w:sz w:val="15"/>
              </w:rPr>
              <w:t>12.00%</w:t>
            </w:r>
          </w:p>
        </w:tc>
        <w:tc>
          <w:tcPr>
            <w:tcW w:type="dxa" w:w="1296"/>
            <w:vAlign w:val="top"/>
          </w:tcPr>
          <w:p>
            <w:pPr>
              <w:spacing w:after="20" w:line="240" w:lineRule="auto"/>
            </w:pPr>
            <w:r>
              <w:rPr>
                <w:rFonts w:ascii="Arial" w:hAnsi="Arial"/>
                <w:b w:val="0"/>
                <w:color w:val="595959"/>
                <w:sz w:val="15"/>
              </w:rPr>
              <w:t>8.90%</w:t>
            </w:r>
          </w:p>
        </w:tc>
        <w:tc>
          <w:tcPr>
            <w:tcW w:type="dxa" w:w="1440"/>
            <w:vAlign w:val="top"/>
          </w:tcPr>
          <w:p>
            <w:pPr>
              <w:spacing w:after="20" w:line="240" w:lineRule="auto"/>
            </w:pPr>
            <w:r>
              <w:rPr>
                <w:rFonts w:ascii="Arial" w:hAnsi="Arial"/>
                <w:b w:val="0"/>
                <w:color w:val="595959"/>
                <w:sz w:val="15"/>
              </w:rPr>
              <w:t>13.46%</w:t>
            </w:r>
          </w:p>
        </w:tc>
        <w:tc>
          <w:tcPr>
            <w:tcW w:type="dxa" w:w="1296"/>
            <w:vAlign w:val="top"/>
          </w:tcPr>
          <w:p>
            <w:pPr>
              <w:spacing w:after="20" w:line="240" w:lineRule="auto"/>
            </w:pPr>
            <w:r>
              <w:rPr>
                <w:rFonts w:ascii="Arial" w:hAnsi="Arial"/>
                <w:b w:val="0"/>
                <w:color w:val="595959"/>
                <w:sz w:val="15"/>
              </w:rPr>
              <w:t>10.26%</w:t>
            </w:r>
          </w:p>
        </w:tc>
        <w:tc>
          <w:tcPr>
            <w:tcW w:type="dxa" w:w="1080"/>
            <w:vAlign w:val="top"/>
          </w:tcPr>
          <w:p>
            <w:pPr>
              <w:spacing w:after="20" w:line="240" w:lineRule="auto"/>
            </w:pPr>
            <w:r>
              <w:rPr>
                <w:rFonts w:ascii="Arial" w:hAnsi="Arial"/>
                <w:b w:val="0"/>
                <w:color w:val="C00000"/>
                <w:sz w:val="15"/>
              </w:rPr>
              <w:t>-1.74%</w:t>
            </w:r>
          </w:p>
        </w:tc>
        <w:tc>
          <w:tcPr>
            <w:tcW w:type="dxa" w:w="1152"/>
            <w:vAlign w:val="top"/>
          </w:tcPr>
          <w:p>
            <w:pPr>
              <w:spacing w:after="20" w:line="240" w:lineRule="auto"/>
            </w:pPr>
            <w:r>
              <w:rPr>
                <w:rFonts w:ascii="Arial" w:hAnsi="Arial"/>
                <w:b w:val="0"/>
                <w:color w:val="595959"/>
                <w:sz w:val="15"/>
              </w:rPr>
              <w:t>-</w:t>
            </w:r>
          </w:p>
        </w:tc>
        <w:tc>
          <w:tcPr>
            <w:tcW w:type="dxa" w:w="3096"/>
            <w:vAlign w:val="top"/>
          </w:tcPr>
          <w:p>
            <w:pPr>
              <w:spacing w:after="20" w:line="240" w:lineRule="auto"/>
            </w:pPr>
            <w:r>
              <w:rPr>
                <w:rFonts w:ascii="Arial" w:hAnsi="Arial"/>
                <w:b w:val="0"/>
                <w:color w:val="595959"/>
                <w:sz w:val="15"/>
              </w:rPr>
              <w:t>Oil shock and reopening optionality (+0.36)</w:t>
            </w:r>
          </w:p>
        </w:tc>
      </w:tr>
      <w:tr>
        <w:tc>
          <w:tcPr>
            <w:tcW w:type="dxa" w:w="2088"/>
            <w:shd w:fill="F7F9FC"/>
            <w:vAlign w:val="top"/>
          </w:tcPr>
          <w:p>
            <w:pPr>
              <w:spacing w:after="20" w:line="240" w:lineRule="auto"/>
            </w:pPr>
            <w:r>
              <w:rPr>
                <w:rFonts w:ascii="Arial" w:hAnsi="Arial"/>
                <w:b w:val="0"/>
                <w:color w:val="595959"/>
                <w:sz w:val="15"/>
              </w:rPr>
              <w:t>AI Capex Rollover</w:t>
            </w:r>
          </w:p>
        </w:tc>
        <w:tc>
          <w:tcPr>
            <w:tcW w:type="dxa" w:w="936"/>
            <w:shd w:fill="F7F9FC"/>
            <w:vAlign w:val="top"/>
          </w:tcPr>
          <w:p>
            <w:pPr>
              <w:spacing w:after="20" w:line="240" w:lineRule="auto"/>
            </w:pPr>
            <w:r>
              <w:rPr>
                <w:rFonts w:ascii="Arial" w:hAnsi="Arial"/>
                <w:b w:val="0"/>
                <w:color w:val="595959"/>
                <w:sz w:val="15"/>
              </w:rPr>
              <w:t>19.00%</w:t>
            </w:r>
          </w:p>
        </w:tc>
        <w:tc>
          <w:tcPr>
            <w:tcW w:type="dxa" w:w="1296"/>
            <w:shd w:fill="F7F9FC"/>
            <w:vAlign w:val="top"/>
          </w:tcPr>
          <w:p>
            <w:pPr>
              <w:spacing w:after="20" w:line="240" w:lineRule="auto"/>
            </w:pPr>
            <w:r>
              <w:rPr>
                <w:rFonts w:ascii="Arial" w:hAnsi="Arial"/>
                <w:b w:val="0"/>
                <w:color w:val="595959"/>
                <w:sz w:val="15"/>
              </w:rPr>
              <w:t>7.50%</w:t>
            </w:r>
          </w:p>
        </w:tc>
        <w:tc>
          <w:tcPr>
            <w:tcW w:type="dxa" w:w="1440"/>
            <w:shd w:fill="F7F9FC"/>
            <w:vAlign w:val="top"/>
          </w:tcPr>
          <w:p>
            <w:pPr>
              <w:spacing w:after="20" w:line="240" w:lineRule="auto"/>
            </w:pPr>
            <w:r>
              <w:rPr>
                <w:rFonts w:ascii="Arial" w:hAnsi="Arial"/>
                <w:b w:val="0"/>
                <w:color w:val="595959"/>
                <w:sz w:val="15"/>
              </w:rPr>
              <w:t>6.37%</w:t>
            </w:r>
          </w:p>
        </w:tc>
        <w:tc>
          <w:tcPr>
            <w:tcW w:type="dxa" w:w="1296"/>
            <w:shd w:fill="F7F9FC"/>
            <w:vAlign w:val="top"/>
          </w:tcPr>
          <w:p>
            <w:pPr>
              <w:spacing w:after="20" w:line="240" w:lineRule="auto"/>
            </w:pPr>
            <w:r>
              <w:rPr>
                <w:rFonts w:ascii="Arial" w:hAnsi="Arial"/>
                <w:b w:val="0"/>
                <w:color w:val="595959"/>
                <w:sz w:val="15"/>
              </w:rPr>
              <w:t>7.16%</w:t>
            </w:r>
          </w:p>
        </w:tc>
        <w:tc>
          <w:tcPr>
            <w:tcW w:type="dxa" w:w="1080"/>
            <w:shd w:fill="F7F9FC"/>
            <w:vAlign w:val="top"/>
          </w:tcPr>
          <w:p>
            <w:pPr>
              <w:spacing w:after="20" w:line="240" w:lineRule="auto"/>
            </w:pPr>
            <w:r>
              <w:rPr>
                <w:rFonts w:ascii="Arial" w:hAnsi="Arial"/>
                <w:b w:val="0"/>
                <w:color w:val="C00000"/>
                <w:sz w:val="15"/>
              </w:rPr>
              <w:t>-11.84%</w:t>
            </w:r>
          </w:p>
        </w:tc>
        <w:tc>
          <w:tcPr>
            <w:tcW w:type="dxa" w:w="1152"/>
            <w:shd w:fill="F7F9FC"/>
            <w:vAlign w:val="top"/>
          </w:tcPr>
          <w:p>
            <w:pPr>
              <w:spacing w:after="20" w:line="240" w:lineRule="auto"/>
            </w:pPr>
            <w:r>
              <w:rPr>
                <w:rFonts w:ascii="Arial" w:hAnsi="Arial"/>
                <w:b w:val="0"/>
                <w:color w:val="595959"/>
                <w:sz w:val="15"/>
              </w:rPr>
              <w:t>floor 7.50%</w:t>
            </w:r>
          </w:p>
        </w:tc>
        <w:tc>
          <w:tcPr>
            <w:tcW w:type="dxa" w:w="3096"/>
            <w:shd w:fill="F7F9FC"/>
            <w:vAlign w:val="top"/>
          </w:tcPr>
          <w:p>
            <w:pPr>
              <w:spacing w:after="20" w:line="240" w:lineRule="auto"/>
            </w:pPr>
            <w:r>
              <w:rPr>
                <w:rFonts w:ascii="Arial" w:hAnsi="Arial"/>
                <w:b w:val="0"/>
                <w:color w:val="595959"/>
                <w:sz w:val="15"/>
              </w:rPr>
              <w:t>AI earnings resilience (-0.44)</w:t>
            </w:r>
          </w:p>
        </w:tc>
      </w:tr>
      <w:tr>
        <w:tc>
          <w:tcPr>
            <w:tcW w:type="dxa" w:w="2088"/>
            <w:vAlign w:val="top"/>
          </w:tcPr>
          <w:p>
            <w:pPr>
              <w:spacing w:after="20" w:line="240" w:lineRule="auto"/>
            </w:pPr>
            <w:r>
              <w:rPr>
                <w:rFonts w:ascii="Arial" w:hAnsi="Arial"/>
                <w:b w:val="0"/>
                <w:color w:val="595959"/>
                <w:sz w:val="15"/>
              </w:rPr>
              <w:t>Late Cycle Risk-Off</w:t>
            </w:r>
          </w:p>
        </w:tc>
        <w:tc>
          <w:tcPr>
            <w:tcW w:type="dxa" w:w="936"/>
            <w:vAlign w:val="top"/>
          </w:tcPr>
          <w:p>
            <w:pPr>
              <w:spacing w:after="20" w:line="240" w:lineRule="auto"/>
            </w:pPr>
            <w:r>
              <w:rPr>
                <w:rFonts w:ascii="Arial" w:hAnsi="Arial"/>
                <w:b w:val="0"/>
                <w:color w:val="595959"/>
                <w:sz w:val="15"/>
              </w:rPr>
              <w:t>12.00%</w:t>
            </w:r>
          </w:p>
        </w:tc>
        <w:tc>
          <w:tcPr>
            <w:tcW w:type="dxa" w:w="1296"/>
            <w:vAlign w:val="top"/>
          </w:tcPr>
          <w:p>
            <w:pPr>
              <w:spacing w:after="20" w:line="240" w:lineRule="auto"/>
            </w:pPr>
            <w:r>
              <w:rPr>
                <w:rFonts w:ascii="Arial" w:hAnsi="Arial"/>
                <w:b w:val="0"/>
                <w:color w:val="595959"/>
                <w:sz w:val="15"/>
              </w:rPr>
              <w:t>5.00%</w:t>
            </w:r>
          </w:p>
        </w:tc>
        <w:tc>
          <w:tcPr>
            <w:tcW w:type="dxa" w:w="1440"/>
            <w:vAlign w:val="top"/>
          </w:tcPr>
          <w:p>
            <w:pPr>
              <w:spacing w:after="20" w:line="240" w:lineRule="auto"/>
            </w:pPr>
            <w:r>
              <w:rPr>
                <w:rFonts w:ascii="Arial" w:hAnsi="Arial"/>
                <w:b w:val="0"/>
                <w:color w:val="595959"/>
                <w:sz w:val="15"/>
              </w:rPr>
              <w:t>29.28%</w:t>
            </w:r>
          </w:p>
        </w:tc>
        <w:tc>
          <w:tcPr>
            <w:tcW w:type="dxa" w:w="1296"/>
            <w:vAlign w:val="top"/>
          </w:tcPr>
          <w:p>
            <w:pPr>
              <w:spacing w:after="20" w:line="240" w:lineRule="auto"/>
            </w:pPr>
            <w:r>
              <w:rPr>
                <w:rFonts w:ascii="Arial" w:hAnsi="Arial"/>
                <w:b w:val="0"/>
                <w:color w:val="595959"/>
                <w:sz w:val="15"/>
              </w:rPr>
              <w:t>12.28%</w:t>
            </w:r>
          </w:p>
        </w:tc>
        <w:tc>
          <w:tcPr>
            <w:tcW w:type="dxa" w:w="1080"/>
            <w:vAlign w:val="top"/>
          </w:tcPr>
          <w:p>
            <w:pPr>
              <w:spacing w:after="20" w:line="240" w:lineRule="auto"/>
            </w:pPr>
            <w:r>
              <w:rPr>
                <w:rFonts w:ascii="Arial" w:hAnsi="Arial"/>
                <w:b w:val="0"/>
                <w:color w:val="595959"/>
                <w:sz w:val="15"/>
              </w:rPr>
              <w:t>0.28%</w:t>
            </w:r>
          </w:p>
        </w:tc>
        <w:tc>
          <w:tcPr>
            <w:tcW w:type="dxa" w:w="1152"/>
            <w:vAlign w:val="top"/>
          </w:tcPr>
          <w:p>
            <w:pPr>
              <w:spacing w:after="20" w:line="240" w:lineRule="auto"/>
            </w:pPr>
            <w:r>
              <w:rPr>
                <w:rFonts w:ascii="Arial" w:hAnsi="Arial"/>
                <w:b w:val="0"/>
                <w:color w:val="595959"/>
                <w:sz w:val="15"/>
              </w:rPr>
              <w:t>floor 5.00%</w:t>
            </w:r>
          </w:p>
        </w:tc>
        <w:tc>
          <w:tcPr>
            <w:tcW w:type="dxa" w:w="3096"/>
            <w:vAlign w:val="top"/>
          </w:tcPr>
          <w:p>
            <w:pPr>
              <w:spacing w:after="20" w:line="240" w:lineRule="auto"/>
            </w:pPr>
            <w:r>
              <w:rPr>
                <w:rFonts w:ascii="Arial" w:hAnsi="Arial"/>
                <w:b w:val="0"/>
                <w:color w:val="595959"/>
                <w:sz w:val="15"/>
              </w:rPr>
              <w:t>Credit layer health (-0.42)</w:t>
            </w:r>
          </w:p>
        </w:tc>
      </w:tr>
    </w:tbl>
    <w:p>
      <w:pPr>
        <w:spacing w:after="120"/>
      </w:pPr>
    </w:p>
    <w:p>
      <w:pPr>
        <w:spacing w:before="320" w:after="140"/>
      </w:pPr>
      <w:r>
        <w:rPr>
          <w:rFonts w:ascii="Arial" w:hAnsi="Arial"/>
          <w:b/>
          <w:color w:val="1F4E79"/>
          <w:sz w:val="28"/>
        </w:rPr>
        <w:t>Visual Summary</w:t>
      </w:r>
    </w:p>
    <w:p>
      <w:pPr>
        <w:spacing w:after="40"/>
      </w:pPr>
      <w:r>
        <w:rPr>
          <w:rFonts w:ascii="Arial" w:hAnsi="Arial"/>
          <w:b/>
          <w:color w:val="1F4E79"/>
          <w:sz w:val="17"/>
        </w:rPr>
        <w:t>Scenario Probability Chart</w:t>
      </w:r>
    </w:p>
    <w:p>
      <w:r>
        <w:drawing>
          <wp:inline xmlns:a="http://schemas.openxmlformats.org/drawingml/2006/main" xmlns:pic="http://schemas.openxmlformats.org/drawingml/2006/picture">
            <wp:extent cx="5852160" cy="2426506"/>
            <wp:docPr id="1" name="Picture 1"/>
            <wp:cNvGraphicFramePr>
              <a:graphicFrameLocks noChangeAspect="1"/>
            </wp:cNvGraphicFramePr>
            <a:graphic>
              <a:graphicData uri="http://schemas.openxmlformats.org/drawingml/2006/picture">
                <pic:pic>
                  <pic:nvPicPr>
                    <pic:cNvPr id="0" name="scenario_probabilities.png"/>
                    <pic:cNvPicPr/>
                  </pic:nvPicPr>
                  <pic:blipFill>
                    <a:blip r:embed="rId9"/>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color w:val="1F4E79"/>
          <w:sz w:val="17"/>
        </w:rPr>
        <w:t>Theme Macro Support Chart</w:t>
      </w:r>
    </w:p>
    <w:p>
      <w:r>
        <w:drawing>
          <wp:inline xmlns:a="http://schemas.openxmlformats.org/drawingml/2006/main" xmlns:pic="http://schemas.openxmlformats.org/drawingml/2006/picture">
            <wp:extent cx="5852160" cy="2426506"/>
            <wp:docPr id="2" name="Picture 2"/>
            <wp:cNvGraphicFramePr>
              <a:graphicFrameLocks noChangeAspect="1"/>
            </wp:cNvGraphicFramePr>
            <a:graphic>
              <a:graphicData uri="http://schemas.openxmlformats.org/drawingml/2006/picture">
                <pic:pic>
                  <pic:nvPicPr>
                    <pic:cNvPr id="0" name="theme_macro_support.png"/>
                    <pic:cNvPicPr/>
                  </pic:nvPicPr>
                  <pic:blipFill>
                    <a:blip r:embed="rId10"/>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color w:val="1F4E79"/>
          <w:sz w:val="17"/>
        </w:rPr>
        <w:t>Historical Macro Return Profile Chart</w:t>
      </w:r>
    </w:p>
    <w:p>
      <w:r>
        <w:drawing>
          <wp:inline xmlns:a="http://schemas.openxmlformats.org/drawingml/2006/main" xmlns:pic="http://schemas.openxmlformats.org/drawingml/2006/picture">
            <wp:extent cx="5852160" cy="2426506"/>
            <wp:docPr id="3" name="Picture 3"/>
            <wp:cNvGraphicFramePr>
              <a:graphicFrameLocks noChangeAspect="1"/>
            </wp:cNvGraphicFramePr>
            <a:graphic>
              <a:graphicData uri="http://schemas.openxmlformats.org/drawingml/2006/picture">
                <pic:pic>
                  <pic:nvPicPr>
                    <pic:cNvPr id="0" name="historical_macro_forward_returns.png"/>
                    <pic:cNvPicPr/>
                  </pic:nvPicPr>
                  <pic:blipFill>
                    <a:blip r:embed="rId11"/>
                    <a:stretch>
                      <a:fillRect/>
                    </a:stretch>
                  </pic:blipFill>
                  <pic:spPr>
                    <a:xfrm>
                      <a:off x="0" y="0"/>
                      <a:ext cx="5852160" cy="2426506"/>
                    </a:xfrm>
                    <a:prstGeom prst="rect"/>
                  </pic:spPr>
                </pic:pic>
              </a:graphicData>
            </a:graphic>
          </wp:inline>
        </w:drawing>
      </w:r>
    </w:p>
    <w:p>
      <w:pPr>
        <w:spacing w:after="80"/>
      </w:pPr>
    </w:p>
    <w:p>
      <w:pPr>
        <w:spacing w:before="320" w:after="140"/>
      </w:pPr>
      <w:r>
        <w:rPr>
          <w:rFonts w:ascii="Arial" w:hAnsi="Arial"/>
          <w:b/>
          <w:color w:val="1F4E79"/>
          <w:sz w:val="28"/>
        </w:rPr>
        <w:t>Scenario Probability Math</w:t>
      </w:r>
    </w:p>
    <w:p>
      <w:pPr>
        <w:spacing w:before="180" w:after="80"/>
      </w:pPr>
      <w:r>
        <w:rPr>
          <w:rFonts w:ascii="Arial" w:hAnsi="Arial"/>
          <w:b/>
          <w:color w:val="2E75B6"/>
          <w:sz w:val="21"/>
        </w:rPr>
        <w:t>Reopening / Soft Landing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40.00%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-0.41</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375623"/>
                <w:sz w:val="15"/>
              </w:rPr>
              <w:t>+0.16</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48.87%</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47.12%</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Breadth and participation</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-0.30</w:t>
            </w:r>
          </w:p>
        </w:tc>
        <w:tc>
          <w:tcPr>
            <w:tcW w:type="dxa" w:w="8208"/>
            <w:vAlign w:val="top"/>
          </w:tcPr>
          <w:p>
            <w:pPr>
              <w:spacing w:after="20" w:line="240" w:lineRule="auto"/>
            </w:pPr>
            <w:r>
              <w:rPr>
                <w:rFonts w:ascii="Arial" w:hAnsi="Arial"/>
                <w:b w:val="0"/>
                <w:color w:val="595959"/>
                <w:sz w:val="15"/>
              </w:rPr>
              <w:t>Soft landing broadening needs participation.</w:t>
            </w:r>
          </w:p>
        </w:tc>
      </w:tr>
      <w:tr>
        <w:tc>
          <w:tcPr>
            <w:tcW w:type="dxa" w:w="1224"/>
            <w:shd w:fill="F7F9FC"/>
            <w:vAlign w:val="top"/>
          </w:tcPr>
          <w:p>
            <w:pPr>
              <w:spacing w:after="20" w:line="240" w:lineRule="auto"/>
            </w:pPr>
            <w:r>
              <w:rPr>
                <w:rFonts w:ascii="Arial" w:hAnsi="Arial"/>
                <w:b w:val="0"/>
                <w:color w:val="595959"/>
                <w:sz w:val="15"/>
              </w:rPr>
              <w:t>Regime Driver</w:t>
            </w:r>
          </w:p>
        </w:tc>
        <w:tc>
          <w:tcPr>
            <w:tcW w:type="dxa" w:w="2088"/>
            <w:shd w:fill="F7F9FC"/>
            <w:vAlign w:val="top"/>
          </w:tcPr>
          <w:p>
            <w:pPr>
              <w:spacing w:after="20" w:line="240" w:lineRule="auto"/>
            </w:pPr>
            <w:r>
              <w:rPr>
                <w:rFonts w:ascii="Arial" w:hAnsi="Arial"/>
                <w:b w:val="0"/>
                <w:color w:val="595959"/>
                <w:sz w:val="15"/>
              </w:rPr>
              <w:t>Oil shock and reopening optionality</w:t>
            </w:r>
          </w:p>
        </w:tc>
        <w:tc>
          <w:tcPr>
            <w:tcW w:type="dxa" w:w="1152"/>
            <w:shd w:fill="F7F9FC"/>
            <w:vAlign w:val="top"/>
          </w:tcPr>
          <w:p>
            <w:pPr>
              <w:spacing w:after="20" w:line="240" w:lineRule="auto"/>
            </w:pPr>
            <w:r>
              <w:rPr>
                <w:rFonts w:ascii="Arial" w:hAnsi="Arial"/>
                <w:b w:val="0"/>
                <w:color w:val="595959"/>
                <w:sz w:val="15"/>
              </w:rPr>
              <w:t>commodities</w:t>
            </w:r>
          </w:p>
        </w:tc>
        <w:tc>
          <w:tcPr>
            <w:tcW w:type="dxa" w:w="1008"/>
            <w:shd w:fill="F7F9FC"/>
            <w:vAlign w:val="top"/>
          </w:tcPr>
          <w:p>
            <w:pPr>
              <w:spacing w:after="20" w:line="240" w:lineRule="auto"/>
            </w:pPr>
            <w:r>
              <w:rPr>
                <w:rFonts w:ascii="Arial" w:hAnsi="Arial"/>
                <w:b w:val="0"/>
                <w:color w:val="375623"/>
                <w:sz w:val="15"/>
              </w:rPr>
              <w:t>+0.28</w:t>
            </w:r>
          </w:p>
        </w:tc>
        <w:tc>
          <w:tcPr>
            <w:tcW w:type="dxa" w:w="8208"/>
            <w:shd w:fill="F7F9FC"/>
            <w:vAlign w:val="top"/>
          </w:tcPr>
          <w:p>
            <w:pPr>
              <w:spacing w:after="20" w:line="240" w:lineRule="auto"/>
            </w:pPr>
            <w:r>
              <w:rPr>
                <w:rFonts w:ascii="Arial" w:hAnsi="Arial"/>
                <w:b w:val="0"/>
                <w:color w:val="595959"/>
                <w:sz w:val="15"/>
              </w:rPr>
              <w:t>Reopening optionality supports soft-landing relief.</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Credit layer health</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375623"/>
                <w:sz w:val="15"/>
              </w:rPr>
              <w:t>+0.24</w:t>
            </w:r>
          </w:p>
        </w:tc>
        <w:tc>
          <w:tcPr>
            <w:tcW w:type="dxa" w:w="8208"/>
            <w:vAlign w:val="top"/>
          </w:tcPr>
          <w:p>
            <w:pPr>
              <w:spacing w:after="20" w:line="240" w:lineRule="auto"/>
            </w:pPr>
            <w:r>
              <w:rPr>
                <w:rFonts w:ascii="Arial" w:hAnsi="Arial"/>
                <w:b w:val="0"/>
                <w:color w:val="595959"/>
                <w:sz w:val="15"/>
              </w:rPr>
              <w:t>Tight credit supports soft-landing broadening.</w:t>
            </w:r>
          </w:p>
        </w:tc>
      </w:tr>
      <w:tr>
        <w:tc>
          <w:tcPr>
            <w:tcW w:type="dxa" w:w="1224"/>
            <w:shd w:fill="F7F9FC"/>
            <w:vAlign w:val="top"/>
          </w:tcPr>
          <w:p>
            <w:pPr>
              <w:spacing w:after="20" w:line="240" w:lineRule="auto"/>
            </w:pPr>
            <w:r>
              <w:rPr>
                <w:rFonts w:ascii="Arial" w:hAnsi="Arial"/>
                <w:b w:val="0"/>
                <w:color w:val="595959"/>
                <w:sz w:val="15"/>
              </w:rPr>
              <w:t>Composite</w:t>
            </w:r>
          </w:p>
        </w:tc>
        <w:tc>
          <w:tcPr>
            <w:tcW w:type="dxa" w:w="2088"/>
            <w:shd w:fill="F7F9FC"/>
            <w:vAlign w:val="top"/>
          </w:tcPr>
          <w:p>
            <w:pPr>
              <w:spacing w:after="20" w:line="240" w:lineRule="auto"/>
            </w:pPr>
            <w:r>
              <w:rPr>
                <w:rFonts w:ascii="Arial" w:hAnsi="Arial"/>
                <w:b w:val="0"/>
                <w:color w:val="595959"/>
                <w:sz w:val="15"/>
              </w:rPr>
              <w:t>Monetary policy composite</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C00000"/>
                <w:sz w:val="15"/>
              </w:rPr>
              <w:t>-0.16</w:t>
            </w:r>
          </w:p>
        </w:tc>
        <w:tc>
          <w:tcPr>
            <w:tcW w:type="dxa" w:w="8208"/>
            <w:shd w:fill="F7F9FC"/>
            <w:vAlign w:val="top"/>
          </w:tcPr>
          <w:p>
            <w:pPr>
              <w:spacing w:after="20" w:line="240" w:lineRule="auto"/>
            </w:pPr>
            <w:r>
              <w:rPr>
                <w:rFonts w:ascii="Arial" w:hAnsi="Arial"/>
                <w:b w:val="0"/>
                <w:color w:val="595959"/>
                <w:sz w:val="15"/>
              </w:rPr>
              <w:t>Policy is not easy enough to fully endorse broadening.</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375623"/>
                <w:sz w:val="15"/>
              </w:rPr>
              <w:t>+0.12</w:t>
            </w:r>
          </w:p>
        </w:tc>
        <w:tc>
          <w:tcPr>
            <w:tcW w:type="dxa" w:w="8208"/>
            <w:vAlign w:val="top"/>
          </w:tcPr>
          <w:p>
            <w:pPr>
              <w:spacing w:after="20" w:line="240" w:lineRule="auto"/>
            </w:pPr>
            <w:r>
              <w:rPr>
                <w:rFonts w:ascii="Arial" w:hAnsi="Arial"/>
                <w:b w:val="0"/>
                <w:color w:val="595959"/>
                <w:sz w:val="15"/>
              </w:rPr>
              <w:t>Orderly volatility supports soft-landing broadening.</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Positioning and hedging</w:t>
            </w:r>
          </w:p>
        </w:tc>
        <w:tc>
          <w:tcPr>
            <w:tcW w:type="dxa" w:w="1152"/>
            <w:shd w:fill="F7F9FC"/>
            <w:vAlign w:val="top"/>
          </w:tcPr>
          <w:p>
            <w:pPr>
              <w:spacing w:after="20" w:line="240" w:lineRule="auto"/>
            </w:pPr>
            <w:r>
              <w:rPr>
                <w:rFonts w:ascii="Arial" w:hAnsi="Arial"/>
                <w:b w:val="0"/>
                <w:color w:val="595959"/>
                <w:sz w:val="15"/>
              </w:rPr>
              <w:t>positioning</w:t>
            </w:r>
          </w:p>
        </w:tc>
        <w:tc>
          <w:tcPr>
            <w:tcW w:type="dxa" w:w="1008"/>
            <w:shd w:fill="F7F9FC"/>
            <w:vAlign w:val="top"/>
          </w:tcPr>
          <w:p>
            <w:pPr>
              <w:spacing w:after="20" w:line="240" w:lineRule="auto"/>
            </w:pPr>
            <w:r>
              <w:rPr>
                <w:rFonts w:ascii="Arial" w:hAnsi="Arial"/>
                <w:b w:val="0"/>
                <w:color w:val="375623"/>
                <w:sz w:val="15"/>
              </w:rPr>
              <w:t>+0.12</w:t>
            </w:r>
          </w:p>
        </w:tc>
        <w:tc>
          <w:tcPr>
            <w:tcW w:type="dxa" w:w="8208"/>
            <w:shd w:fill="F7F9FC"/>
            <w:vAlign w:val="top"/>
          </w:tcPr>
          <w:p>
            <w:pPr>
              <w:spacing w:after="20" w:line="240" w:lineRule="auto"/>
            </w:pPr>
            <w:r>
              <w:rPr>
                <w:rFonts w:ascii="Arial" w:hAnsi="Arial"/>
                <w:b w:val="0"/>
                <w:color w:val="595959"/>
                <w:sz w:val="15"/>
              </w:rPr>
              <w:t>Fearful positioning can create contrarian support.</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 Spread Level</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375623"/>
                <w:sz w:val="15"/>
              </w:rPr>
              <w:t>+0.05</w:t>
            </w:r>
          </w:p>
        </w:tc>
        <w:tc>
          <w:tcPr>
            <w:tcW w:type="dxa" w:w="8208"/>
            <w:vAlign w:val="top"/>
          </w:tcPr>
          <w:p>
            <w:pPr>
              <w:spacing w:after="20" w:line="240" w:lineRule="auto"/>
            </w:pPr>
            <w:r>
              <w:rPr>
                <w:rFonts w:ascii="Arial" w:hAnsi="Arial"/>
                <w:b w:val="0"/>
                <w:color w:val="595959"/>
                <w:sz w:val="15"/>
              </w:rPr>
              <w:t>Tight HY spreads support soft landing.</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pct_above_200d supports broad participation.</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Adl Slope</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375623"/>
                <w:sz w:val="15"/>
              </w:rPr>
              <w:t>+0.05</w:t>
            </w:r>
          </w:p>
        </w:tc>
        <w:tc>
          <w:tcPr>
            <w:tcW w:type="dxa" w:w="8208"/>
            <w:vAlign w:val="top"/>
          </w:tcPr>
          <w:p>
            <w:pPr>
              <w:spacing w:after="20" w:line="240" w:lineRule="auto"/>
            </w:pPr>
            <w:r>
              <w:rPr>
                <w:rFonts w:ascii="Arial" w:hAnsi="Arial"/>
                <w:b w:val="0"/>
                <w:color w:val="595959"/>
                <w:sz w:val="15"/>
              </w:rPr>
              <w:t>adl_slope supports broad participation.</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NFCI inverted</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Easier liquidity supports soft-landing broadening.</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Rsp Vs Spy Z</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-0.05</w:t>
            </w:r>
          </w:p>
        </w:tc>
        <w:tc>
          <w:tcPr>
            <w:tcW w:type="dxa" w:w="8208"/>
            <w:vAlign w:val="top"/>
          </w:tcPr>
          <w:p>
            <w:pPr>
              <w:spacing w:after="20" w:line="240" w:lineRule="auto"/>
            </w:pPr>
            <w:r>
              <w:rPr>
                <w:rFonts w:ascii="Arial" w:hAnsi="Arial"/>
                <w:b w:val="0"/>
                <w:color w:val="595959"/>
                <w:sz w:val="15"/>
              </w:rPr>
              <w:t>rsp_vs_spy_z undermines broadening.</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Hyg Tlt Ratio Z</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+0.04</w:t>
            </w:r>
          </w:p>
        </w:tc>
        <w:tc>
          <w:tcPr>
            <w:tcW w:type="dxa" w:w="8208"/>
            <w:shd w:fill="F7F9FC"/>
            <w:vAlign w:val="top"/>
          </w:tcPr>
          <w:p>
            <w:pPr>
              <w:spacing w:after="20" w:line="240" w:lineRule="auto"/>
            </w:pPr>
            <w:r>
              <w:rPr>
                <w:rFonts w:ascii="Arial" w:hAnsi="Arial"/>
                <w:b w:val="0"/>
                <w:color w:val="595959"/>
                <w:sz w:val="15"/>
              </w:rPr>
              <w:t>HYG/TLT confirms credit risk appetite.</w:t>
            </w:r>
          </w:p>
        </w:tc>
      </w:tr>
    </w:tbl>
    <w:p>
      <w:pPr>
        <w:spacing w:after="120"/>
      </w:pPr>
    </w:p>
    <w:p>
      <w:pPr>
        <w:spacing w:before="180" w:after="80"/>
      </w:pPr>
      <w:r>
        <w:rPr>
          <w:rFonts w:ascii="Arial" w:hAnsi="Arial"/>
          <w:b/>
          <w:color w:val="2E75B6"/>
          <w:sz w:val="21"/>
        </w:rPr>
        <w:t>Sticky Late Cycle AI</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17.00%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-1.59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-0.25</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32.66%</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31.48%</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AI earnings resilience</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375623"/>
                <w:sz w:val="15"/>
              </w:rPr>
              <w:t>+0.52</w:t>
            </w:r>
          </w:p>
        </w:tc>
        <w:tc>
          <w:tcPr>
            <w:tcW w:type="dxa" w:w="8208"/>
            <w:vAlign w:val="top"/>
          </w:tcPr>
          <w:p>
            <w:pPr>
              <w:spacing w:after="20" w:line="240" w:lineRule="auto"/>
            </w:pPr>
            <w:r>
              <w:rPr>
                <w:rFonts w:ascii="Arial" w:hAnsi="Arial"/>
                <w:b w:val="0"/>
                <w:color w:val="595959"/>
                <w:sz w:val="15"/>
              </w:rPr>
              <w:t>AI earnings resilience supports narrow leadership.</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Breadth and participation</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+0.32</w:t>
            </w:r>
          </w:p>
        </w:tc>
        <w:tc>
          <w:tcPr>
            <w:tcW w:type="dxa" w:w="8208"/>
            <w:shd w:fill="F7F9FC"/>
            <w:vAlign w:val="top"/>
          </w:tcPr>
          <w:p>
            <w:pPr>
              <w:spacing w:after="20" w:line="240" w:lineRule="auto"/>
            </w:pPr>
            <w:r>
              <w:rPr>
                <w:rFonts w:ascii="Arial" w:hAnsi="Arial"/>
                <w:b w:val="0"/>
                <w:color w:val="595959"/>
                <w:sz w:val="15"/>
              </w:rPr>
              <w:t>Weak breadth favors narrow leadership persistence.</w:t>
            </w:r>
          </w:p>
        </w:tc>
      </w:tr>
      <w:tr>
        <w:tc>
          <w:tcPr>
            <w:tcW w:type="dxa" w:w="1224"/>
            <w:vAlign w:val="top"/>
          </w:tcPr>
          <w:p>
            <w:pPr>
              <w:spacing w:after="20" w:line="240" w:lineRule="auto"/>
            </w:pPr>
            <w:r>
              <w:rPr>
                <w:rFonts w:ascii="Arial" w:hAnsi="Arial"/>
                <w:b w:val="0"/>
                <w:color w:val="595959"/>
                <w:sz w:val="15"/>
              </w:rPr>
              <w:t>Composite</w:t>
            </w:r>
          </w:p>
        </w:tc>
        <w:tc>
          <w:tcPr>
            <w:tcW w:type="dxa" w:w="2088"/>
            <w:vAlign w:val="top"/>
          </w:tcPr>
          <w:p>
            <w:pPr>
              <w:spacing w:after="20" w:line="240" w:lineRule="auto"/>
            </w:pPr>
            <w:r>
              <w:rPr>
                <w:rFonts w:ascii="Arial" w:hAnsi="Arial"/>
                <w:b w:val="0"/>
                <w:color w:val="595959"/>
                <w:sz w:val="15"/>
              </w:rPr>
              <w:t>Monetary policy composite</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375623"/>
                <w:sz w:val="15"/>
              </w:rPr>
              <w:t>+0.16</w:t>
            </w:r>
          </w:p>
        </w:tc>
        <w:tc>
          <w:tcPr>
            <w:tcW w:type="dxa" w:w="8208"/>
            <w:vAlign w:val="top"/>
          </w:tcPr>
          <w:p>
            <w:pPr>
              <w:spacing w:after="20" w:line="240" w:lineRule="auto"/>
            </w:pPr>
            <w:r>
              <w:rPr>
                <w:rFonts w:ascii="Arial" w:hAnsi="Arial"/>
                <w:b w:val="0"/>
                <w:color w:val="595959"/>
                <w:sz w:val="15"/>
              </w:rPr>
              <w:t>Fed hold/hike pricing offsets softer monetary-layer signals.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Credit layer health</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+0.15</w:t>
            </w:r>
          </w:p>
        </w:tc>
        <w:tc>
          <w:tcPr>
            <w:tcW w:type="dxa" w:w="8208"/>
            <w:shd w:fill="F7F9FC"/>
            <w:vAlign w:val="top"/>
          </w:tcPr>
          <w:p>
            <w:pPr>
              <w:spacing w:after="20" w:line="240" w:lineRule="auto"/>
            </w:pPr>
            <w:r>
              <w:rPr>
                <w:rFonts w:ascii="Arial" w:hAnsi="Arial"/>
                <w:b w:val="0"/>
                <w:color w:val="595959"/>
                <w:sz w:val="15"/>
              </w:rPr>
              <w:t>Contained spreads allow narrow leadership to persist.</w:t>
            </w:r>
          </w:p>
        </w:tc>
      </w:tr>
      <w:tr>
        <w:tc>
          <w:tcPr>
            <w:tcW w:type="dxa" w:w="1224"/>
            <w:vAlign w:val="top"/>
          </w:tcPr>
          <w:p>
            <w:pPr>
              <w:spacing w:after="20" w:line="240" w:lineRule="auto"/>
            </w:pPr>
            <w:r>
              <w:rPr>
                <w:rFonts w:ascii="Arial" w:hAnsi="Arial"/>
                <w:b w:val="0"/>
                <w:color w:val="595959"/>
                <w:sz w:val="15"/>
              </w:rPr>
              <w:t>Falsifier</w:t>
            </w:r>
          </w:p>
        </w:tc>
        <w:tc>
          <w:tcPr>
            <w:tcW w:type="dxa" w:w="2088"/>
            <w:vAlign w:val="top"/>
          </w:tcPr>
          <w:p>
            <w:pPr>
              <w:spacing w:after="20" w:line="240" w:lineRule="auto"/>
            </w:pPr>
            <w:r>
              <w:rPr>
                <w:rFonts w:ascii="Arial" w:hAnsi="Arial"/>
                <w:b w:val="0"/>
                <w:color w:val="595959"/>
                <w:sz w:val="15"/>
              </w:rPr>
              <w:t>Hyperscaler capex rollover falsifier</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375623"/>
                <w:sz w:val="15"/>
              </w:rPr>
              <w:t>+0.11</w:t>
            </w:r>
          </w:p>
        </w:tc>
        <w:tc>
          <w:tcPr>
            <w:tcW w:type="dxa" w:w="8208"/>
            <w:vAlign w:val="top"/>
          </w:tcPr>
          <w:p>
            <w:pPr>
              <w:spacing w:after="20" w:line="240" w:lineRule="auto"/>
            </w:pPr>
            <w:r>
              <w:rPr>
                <w:rFonts w:ascii="Arial" w:hAnsi="Arial"/>
                <w:b w:val="0"/>
                <w:color w:val="595959"/>
                <w:sz w:val="15"/>
              </w:rPr>
              <w:t>Untriggered capex falsifier supports AI leadership persistence.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Rsp Vs Spy Z</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+0.07</w:t>
            </w:r>
          </w:p>
        </w:tc>
        <w:tc>
          <w:tcPr>
            <w:tcW w:type="dxa" w:w="8208"/>
            <w:shd w:fill="F7F9FC"/>
            <w:vAlign w:val="top"/>
          </w:tcPr>
          <w:p>
            <w:pPr>
              <w:spacing w:after="20" w:line="240" w:lineRule="auto"/>
            </w:pPr>
            <w:r>
              <w:rPr>
                <w:rFonts w:ascii="Arial" w:hAnsi="Arial"/>
                <w:b w:val="0"/>
                <w:color w:val="595959"/>
                <w:sz w:val="15"/>
              </w:rPr>
              <w:t>rsp_vs_spy_z favors narrow leadership.</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375623"/>
                <w:sz w:val="15"/>
              </w:rPr>
              <w:t>+0.06</w:t>
            </w:r>
          </w:p>
        </w:tc>
        <w:tc>
          <w:tcPr>
            <w:tcW w:type="dxa" w:w="8208"/>
            <w:vAlign w:val="top"/>
          </w:tcPr>
          <w:p>
            <w:pPr>
              <w:spacing w:after="20" w:line="240" w:lineRule="auto"/>
            </w:pPr>
            <w:r>
              <w:rPr>
                <w:rFonts w:ascii="Arial" w:hAnsi="Arial"/>
                <w:b w:val="0"/>
                <w:color w:val="595959"/>
                <w:sz w:val="15"/>
              </w:rPr>
              <w:t>Calm volatility allows leadership trends to persist.</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C00000"/>
                <w:sz w:val="15"/>
              </w:rPr>
              <w:t>-0.04</w:t>
            </w:r>
          </w:p>
        </w:tc>
        <w:tc>
          <w:tcPr>
            <w:tcW w:type="dxa" w:w="8208"/>
            <w:shd w:fill="F7F9FC"/>
            <w:vAlign w:val="top"/>
          </w:tcPr>
          <w:p>
            <w:pPr>
              <w:spacing w:after="20" w:line="240" w:lineRule="auto"/>
            </w:pPr>
            <w:r>
              <w:rPr>
                <w:rFonts w:ascii="Arial" w:hAnsi="Arial"/>
                <w:b w:val="0"/>
                <w:color w:val="595959"/>
                <w:sz w:val="15"/>
              </w:rPr>
              <w:t>pct_above_200d reduces narrow-leadership dependence.</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Adl Slope</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-0.04</w:t>
            </w:r>
          </w:p>
        </w:tc>
        <w:tc>
          <w:tcPr>
            <w:tcW w:type="dxa" w:w="8208"/>
            <w:vAlign w:val="top"/>
          </w:tcPr>
          <w:p>
            <w:pPr>
              <w:spacing w:after="20" w:line="240" w:lineRule="auto"/>
            </w:pPr>
            <w:r>
              <w:rPr>
                <w:rFonts w:ascii="Arial" w:hAnsi="Arial"/>
                <w:b w:val="0"/>
                <w:color w:val="595959"/>
                <w:sz w:val="15"/>
              </w:rPr>
              <w:t>adl_slope reduces narrow-leadership dependence.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 Spread Level</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+0.03</w:t>
            </w:r>
          </w:p>
        </w:tc>
        <w:tc>
          <w:tcPr>
            <w:tcW w:type="dxa" w:w="8208"/>
            <w:shd w:fill="F7F9FC"/>
            <w:vAlign w:val="top"/>
          </w:tcPr>
          <w:p>
            <w:pPr>
              <w:spacing w:after="20" w:line="240" w:lineRule="auto"/>
            </w:pPr>
            <w:r>
              <w:rPr>
                <w:rFonts w:ascii="Arial" w:hAnsi="Arial"/>
                <w:b w:val="0"/>
                <w:color w:val="595959"/>
                <w:sz w:val="15"/>
              </w:rPr>
              <w:t>Contained spreads allow leadership to persist.</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NFCI inverted</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C00000"/>
                <w:sz w:val="15"/>
              </w:rPr>
              <w:t>-0.02</w:t>
            </w:r>
          </w:p>
        </w:tc>
        <w:tc>
          <w:tcPr>
            <w:tcW w:type="dxa" w:w="8208"/>
            <w:vAlign w:val="top"/>
          </w:tcPr>
          <w:p>
            <w:pPr>
              <w:spacing w:after="20" w:line="240" w:lineRule="auto"/>
            </w:pPr>
            <w:r>
              <w:rPr>
                <w:rFonts w:ascii="Arial" w:hAnsi="Arial"/>
                <w:b w:val="0"/>
                <w:color w:val="595959"/>
                <w:sz w:val="15"/>
              </w:rPr>
              <w:t>Easing conditions can reduce narrow-leadership dependence.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RSP minus SPY participation proxy</w:t>
            </w:r>
          </w:p>
        </w:tc>
        <w:tc>
          <w:tcPr>
            <w:tcW w:type="dxa" w:w="1152"/>
            <w:shd w:fill="F7F9FC"/>
            <w:vAlign w:val="top"/>
          </w:tcPr>
          <w:p>
            <w:pPr>
              <w:spacing w:after="20" w:line="240" w:lineRule="auto"/>
            </w:pPr>
            <w:r>
              <w:rPr>
                <w:rFonts w:ascii="Arial" w:hAnsi="Arial"/>
                <w:b w:val="0"/>
                <w:color w:val="595959"/>
                <w:sz w:val="15"/>
              </w:rPr>
              <w:t>market_state</w:t>
            </w:r>
          </w:p>
        </w:tc>
        <w:tc>
          <w:tcPr>
            <w:tcW w:type="dxa" w:w="1008"/>
            <w:shd w:fill="F7F9FC"/>
            <w:vAlign w:val="top"/>
          </w:tcPr>
          <w:p>
            <w:pPr>
              <w:spacing w:after="20" w:line="240" w:lineRule="auto"/>
            </w:pPr>
            <w:r>
              <w:rPr>
                <w:rFonts w:ascii="Arial" w:hAnsi="Arial"/>
                <w:b w:val="0"/>
                <w:color w:val="375623"/>
                <w:sz w:val="15"/>
              </w:rPr>
              <w:t>+0.01</w:t>
            </w:r>
          </w:p>
        </w:tc>
        <w:tc>
          <w:tcPr>
            <w:tcW w:type="dxa" w:w="8208"/>
            <w:shd w:fill="F7F9FC"/>
            <w:vAlign w:val="top"/>
          </w:tcPr>
          <w:p>
            <w:pPr>
              <w:spacing w:after="20" w:line="240" w:lineRule="auto"/>
            </w:pPr>
            <w:r>
              <w:rPr>
                <w:rFonts w:ascii="Arial" w:hAnsi="Arial"/>
                <w:b w:val="0"/>
                <w:color w:val="595959"/>
                <w:sz w:val="15"/>
              </w:rPr>
              <w:t>RSP underperformance confirms narrow leadership.</w:t>
            </w:r>
          </w:p>
        </w:tc>
      </w:tr>
    </w:tbl>
    <w:p>
      <w:pPr>
        <w:spacing w:after="120"/>
      </w:pPr>
    </w:p>
    <w:p>
      <w:pPr>
        <w:spacing w:before="180" w:after="80"/>
      </w:pPr>
      <w:r>
        <w:rPr>
          <w:rFonts w:ascii="Arial" w:hAnsi="Arial"/>
          <w:b/>
          <w:color w:val="2E75B6"/>
          <w:sz w:val="21"/>
        </w:rPr>
        <w:t>Oil Inflation 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12.00%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-1.99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-1.51</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9.23%</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8.90%</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Oil shock and reopening optionality</w:t>
            </w:r>
          </w:p>
        </w:tc>
        <w:tc>
          <w:tcPr>
            <w:tcW w:type="dxa" w:w="1152"/>
            <w:vAlign w:val="top"/>
          </w:tcPr>
          <w:p>
            <w:pPr>
              <w:spacing w:after="20" w:line="240" w:lineRule="auto"/>
            </w:pPr>
            <w:r>
              <w:rPr>
                <w:rFonts w:ascii="Arial" w:hAnsi="Arial"/>
                <w:b w:val="0"/>
                <w:color w:val="595959"/>
                <w:sz w:val="15"/>
              </w:rPr>
              <w:t>commodities</w:t>
            </w:r>
          </w:p>
        </w:tc>
        <w:tc>
          <w:tcPr>
            <w:tcW w:type="dxa" w:w="1008"/>
            <w:vAlign w:val="top"/>
          </w:tcPr>
          <w:p>
            <w:pPr>
              <w:spacing w:after="20" w:line="240" w:lineRule="auto"/>
            </w:pPr>
            <w:r>
              <w:rPr>
                <w:rFonts w:ascii="Arial" w:hAnsi="Arial"/>
                <w:b w:val="0"/>
                <w:color w:val="375623"/>
                <w:sz w:val="15"/>
              </w:rPr>
              <w:t>+0.36</w:t>
            </w:r>
          </w:p>
        </w:tc>
        <w:tc>
          <w:tcPr>
            <w:tcW w:type="dxa" w:w="8208"/>
            <w:vAlign w:val="top"/>
          </w:tcPr>
          <w:p>
            <w:pPr>
              <w:spacing w:after="20" w:line="240" w:lineRule="auto"/>
            </w:pPr>
            <w:r>
              <w:rPr>
                <w:rFonts w:ascii="Arial" w:hAnsi="Arial"/>
                <w:b w:val="0"/>
                <w:color w:val="595959"/>
                <w:sz w:val="15"/>
              </w:rPr>
              <w:t>Oil shock language keeps inflation-tail risk alive.</w:t>
            </w:r>
          </w:p>
        </w:tc>
      </w:tr>
      <w:tr>
        <w:tc>
          <w:tcPr>
            <w:tcW w:type="dxa" w:w="1224"/>
            <w:shd w:fill="F7F9FC"/>
            <w:vAlign w:val="top"/>
          </w:tcPr>
          <w:p>
            <w:pPr>
              <w:spacing w:after="20" w:line="240" w:lineRule="auto"/>
            </w:pPr>
            <w:r>
              <w:rPr>
                <w:rFonts w:ascii="Arial" w:hAnsi="Arial"/>
                <w:b w:val="0"/>
                <w:color w:val="595959"/>
                <w:sz w:val="15"/>
              </w:rPr>
              <w:t>Composite</w:t>
            </w:r>
          </w:p>
        </w:tc>
        <w:tc>
          <w:tcPr>
            <w:tcW w:type="dxa" w:w="2088"/>
            <w:shd w:fill="F7F9FC"/>
            <w:vAlign w:val="top"/>
          </w:tcPr>
          <w:p>
            <w:pPr>
              <w:spacing w:after="20" w:line="240" w:lineRule="auto"/>
            </w:pPr>
            <w:r>
              <w:rPr>
                <w:rFonts w:ascii="Arial" w:hAnsi="Arial"/>
                <w:b w:val="0"/>
                <w:color w:val="595959"/>
                <w:sz w:val="15"/>
              </w:rPr>
              <w:t>Monetary policy composite</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375623"/>
                <w:sz w:val="15"/>
              </w:rPr>
              <w:t>+0.13</w:t>
            </w:r>
          </w:p>
        </w:tc>
        <w:tc>
          <w:tcPr>
            <w:tcW w:type="dxa" w:w="8208"/>
            <w:shd w:fill="F7F9FC"/>
            <w:vAlign w:val="top"/>
          </w:tcPr>
          <w:p>
            <w:pPr>
              <w:spacing w:after="20" w:line="240" w:lineRule="auto"/>
            </w:pPr>
            <w:r>
              <w:rPr>
                <w:rFonts w:ascii="Arial" w:hAnsi="Arial"/>
                <w:b w:val="0"/>
                <w:color w:val="595959"/>
                <w:sz w:val="15"/>
              </w:rPr>
              <w:t>High hold/hike odds leave less cushion against inflation tails.</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GLD return</w:t>
            </w:r>
          </w:p>
        </w:tc>
        <w:tc>
          <w:tcPr>
            <w:tcW w:type="dxa" w:w="1152"/>
            <w:vAlign w:val="top"/>
          </w:tcPr>
          <w:p>
            <w:pPr>
              <w:spacing w:after="20" w:line="240" w:lineRule="auto"/>
            </w:pPr>
            <w:r>
              <w:rPr>
                <w:rFonts w:ascii="Arial" w:hAnsi="Arial"/>
                <w:b w:val="0"/>
                <w:color w:val="595959"/>
                <w:sz w:val="15"/>
              </w:rPr>
              <w:t>market_state</w:t>
            </w:r>
          </w:p>
        </w:tc>
        <w:tc>
          <w:tcPr>
            <w:tcW w:type="dxa" w:w="1008"/>
            <w:vAlign w:val="top"/>
          </w:tcPr>
          <w:p>
            <w:pPr>
              <w:spacing w:after="20" w:line="240" w:lineRule="auto"/>
            </w:pPr>
            <w:r>
              <w:rPr>
                <w:rFonts w:ascii="Arial" w:hAnsi="Arial"/>
                <w:b w:val="0"/>
                <w:color w:val="C00000"/>
                <w:sz w:val="15"/>
              </w:rPr>
              <w:t>-0.00</w:t>
            </w:r>
          </w:p>
        </w:tc>
        <w:tc>
          <w:tcPr>
            <w:tcW w:type="dxa" w:w="8208"/>
            <w:vAlign w:val="top"/>
          </w:tcPr>
          <w:p>
            <w:pPr>
              <w:spacing w:after="20" w:line="240" w:lineRule="auto"/>
            </w:pPr>
            <w:r>
              <w:rPr>
                <w:rFonts w:ascii="Arial" w:hAnsi="Arial"/>
                <w:b w:val="0"/>
                <w:color w:val="595959"/>
                <w:sz w:val="15"/>
              </w:rPr>
              <w:t>GLD return pressure reduces inflation-tail tape.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USO return</w:t>
            </w:r>
          </w:p>
        </w:tc>
        <w:tc>
          <w:tcPr>
            <w:tcW w:type="dxa" w:w="1152"/>
            <w:shd w:fill="F7F9FC"/>
            <w:vAlign w:val="top"/>
          </w:tcPr>
          <w:p>
            <w:pPr>
              <w:spacing w:after="20" w:line="240" w:lineRule="auto"/>
            </w:pPr>
            <w:r>
              <w:rPr>
                <w:rFonts w:ascii="Arial" w:hAnsi="Arial"/>
                <w:b w:val="0"/>
                <w:color w:val="595959"/>
                <w:sz w:val="15"/>
              </w:rPr>
              <w:t>market_state</w:t>
            </w:r>
          </w:p>
        </w:tc>
        <w:tc>
          <w:tcPr>
            <w:tcW w:type="dxa" w:w="1008"/>
            <w:shd w:fill="F7F9FC"/>
            <w:vAlign w:val="top"/>
          </w:tcPr>
          <w:p>
            <w:pPr>
              <w:spacing w:after="20" w:line="240" w:lineRule="auto"/>
            </w:pPr>
            <w:r>
              <w:rPr>
                <w:rFonts w:ascii="Arial" w:hAnsi="Arial"/>
                <w:b w:val="0"/>
                <w:color w:val="C00000"/>
                <w:sz w:val="15"/>
              </w:rPr>
              <w:t>-0.00</w:t>
            </w:r>
          </w:p>
        </w:tc>
        <w:tc>
          <w:tcPr>
            <w:tcW w:type="dxa" w:w="8208"/>
            <w:shd w:fill="F7F9FC"/>
            <w:vAlign w:val="top"/>
          </w:tcPr>
          <w:p>
            <w:pPr>
              <w:spacing w:after="20" w:line="240" w:lineRule="auto"/>
            </w:pPr>
            <w:r>
              <w:rPr>
                <w:rFonts w:ascii="Arial" w:hAnsi="Arial"/>
                <w:b w:val="0"/>
                <w:color w:val="595959"/>
                <w:sz w:val="15"/>
              </w:rPr>
              <w:t>USO return pressure reduces inflation-tail tape.</w:t>
            </w:r>
          </w:p>
        </w:tc>
      </w:tr>
    </w:tbl>
    <w:p>
      <w:pPr>
        <w:spacing w:after="120"/>
      </w:pPr>
    </w:p>
    <w:p>
      <w:pPr>
        <w:spacing w:before="180" w:after="80"/>
      </w:pPr>
      <w:r>
        <w:rPr>
          <w:rFonts w:ascii="Arial" w:hAnsi="Arial"/>
          <w:b/>
          <w:color w:val="2E75B6"/>
          <w:sz w:val="21"/>
        </w:rPr>
        <w:t>AI Capex Rollover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19.00%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-1.45</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-2.03</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5.52%</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7.50%</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True (7.50%)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AI earnings resilience</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C00000"/>
                <w:sz w:val="15"/>
              </w:rPr>
              <w:t>-0.44</w:t>
            </w:r>
          </w:p>
        </w:tc>
        <w:tc>
          <w:tcPr>
            <w:tcW w:type="dxa" w:w="8208"/>
            <w:vAlign w:val="top"/>
          </w:tcPr>
          <w:p>
            <w:pPr>
              <w:spacing w:after="20" w:line="240" w:lineRule="auto"/>
            </w:pPr>
            <w:r>
              <w:rPr>
                <w:rFonts w:ascii="Arial" w:hAnsi="Arial"/>
                <w:b w:val="0"/>
                <w:color w:val="595959"/>
                <w:sz w:val="15"/>
              </w:rPr>
              <w:t>Resilient AI earnings reduce capex-rollover odds.</w:t>
            </w:r>
          </w:p>
        </w:tc>
      </w:tr>
      <w:tr>
        <w:tc>
          <w:tcPr>
            <w:tcW w:type="dxa" w:w="1224"/>
            <w:shd w:fill="F7F9FC"/>
            <w:vAlign w:val="top"/>
          </w:tcPr>
          <w:p>
            <w:pPr>
              <w:spacing w:after="20" w:line="240" w:lineRule="auto"/>
            </w:pPr>
            <w:r>
              <w:rPr>
                <w:rFonts w:ascii="Arial" w:hAnsi="Arial"/>
                <w:b w:val="0"/>
                <w:color w:val="595959"/>
                <w:sz w:val="15"/>
              </w:rPr>
              <w:t>Falsifier</w:t>
            </w:r>
          </w:p>
        </w:tc>
        <w:tc>
          <w:tcPr>
            <w:tcW w:type="dxa" w:w="2088"/>
            <w:shd w:fill="F7F9FC"/>
            <w:vAlign w:val="top"/>
          </w:tcPr>
          <w:p>
            <w:pPr>
              <w:spacing w:after="20" w:line="240" w:lineRule="auto"/>
            </w:pPr>
            <w:r>
              <w:rPr>
                <w:rFonts w:ascii="Arial" w:hAnsi="Arial"/>
                <w:b w:val="0"/>
                <w:color w:val="595959"/>
                <w:sz w:val="15"/>
              </w:rPr>
              <w:t>Hyperscaler capex rollover falsifier</w:t>
            </w:r>
          </w:p>
        </w:tc>
        <w:tc>
          <w:tcPr>
            <w:tcW w:type="dxa" w:w="1152"/>
            <w:shd w:fill="F7F9FC"/>
            <w:vAlign w:val="top"/>
          </w:tcPr>
          <w:p>
            <w:pPr>
              <w:spacing w:after="20" w:line="240" w:lineRule="auto"/>
            </w:pPr>
            <w:r>
              <w:rPr>
                <w:rFonts w:ascii="Arial" w:hAnsi="Arial"/>
                <w:b w:val="0"/>
                <w:color w:val="595959"/>
                <w:sz w:val="15"/>
              </w:rPr>
              <w:t>earnings</w:t>
            </w:r>
          </w:p>
        </w:tc>
        <w:tc>
          <w:tcPr>
            <w:tcW w:type="dxa" w:w="1008"/>
            <w:shd w:fill="F7F9FC"/>
            <w:vAlign w:val="top"/>
          </w:tcPr>
          <w:p>
            <w:pPr>
              <w:spacing w:after="20" w:line="240" w:lineRule="auto"/>
            </w:pPr>
            <w:r>
              <w:rPr>
                <w:rFonts w:ascii="Arial" w:hAnsi="Arial"/>
                <w:b w:val="0"/>
                <w:color w:val="C00000"/>
                <w:sz w:val="15"/>
              </w:rPr>
              <w:t>-0.14</w:t>
            </w:r>
          </w:p>
        </w:tc>
        <w:tc>
          <w:tcPr>
            <w:tcW w:type="dxa" w:w="8208"/>
            <w:shd w:fill="F7F9FC"/>
            <w:vAlign w:val="top"/>
          </w:tcPr>
          <w:p>
            <w:pPr>
              <w:spacing w:after="20" w:line="240" w:lineRule="auto"/>
            </w:pPr>
            <w:r>
              <w:rPr>
                <w:rFonts w:ascii="Arial" w:hAnsi="Arial"/>
                <w:b w:val="0"/>
                <w:color w:val="595959"/>
                <w:sz w:val="15"/>
              </w:rPr>
              <w:t>Capex rollover falsifier has not triggered.</w:t>
            </w:r>
          </w:p>
        </w:tc>
      </w:tr>
    </w:tbl>
    <w:p>
      <w:pPr>
        <w:spacing w:after="120"/>
      </w:pPr>
    </w:p>
    <w:p>
      <w:pPr>
        <w:spacing w:after="40"/>
      </w:pPr>
      <w:r>
        <w:rPr>
          <w:rFonts w:ascii="Arial" w:hAnsi="Arial"/>
          <w:b w:val="0"/>
          <w:color w:val="595959"/>
          <w:sz w:val="17"/>
        </w:rPr>
        <w:t>No raw component contributors were used for this scenario.</w:t>
      </w:r>
    </w:p>
    <w:p>
      <w:pPr>
        <w:spacing w:before="180" w:after="80"/>
      </w:pPr>
      <w:r>
        <w:rPr>
          <w:rFonts w:ascii="Arial" w:hAnsi="Arial"/>
          <w:b/>
          <w:color w:val="2E75B6"/>
          <w:sz w:val="21"/>
        </w:rPr>
        <w:t>Late Cycle Risk-Off</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12.00%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-1.99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-2.42</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3.72%</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5.00%</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True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Credit layer health</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-0.42</w:t>
            </w:r>
          </w:p>
        </w:tc>
        <w:tc>
          <w:tcPr>
            <w:tcW w:type="dxa" w:w="8208"/>
            <w:vAlign w:val="top"/>
          </w:tcPr>
          <w:p>
            <w:pPr>
              <w:spacing w:after="20" w:line="240" w:lineRule="auto"/>
            </w:pPr>
            <w:r>
              <w:rPr>
                <w:rFonts w:ascii="Arial" w:hAnsi="Arial"/>
                <w:b w:val="0"/>
                <w:color w:val="595959"/>
                <w:sz w:val="15"/>
              </w:rPr>
              <w:t>Healthy credit reduces near-term risk-off odds.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Breadth and participation</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+0.24</w:t>
            </w:r>
          </w:p>
        </w:tc>
        <w:tc>
          <w:tcPr>
            <w:tcW w:type="dxa" w:w="8208"/>
            <w:shd w:fill="F7F9FC"/>
            <w:vAlign w:val="top"/>
          </w:tcPr>
          <w:p>
            <w:pPr>
              <w:spacing w:after="20" w:line="240" w:lineRule="auto"/>
            </w:pPr>
            <w:r>
              <w:rPr>
                <w:rFonts w:ascii="Arial" w:hAnsi="Arial"/>
                <w:b w:val="0"/>
                <w:color w:val="595959"/>
                <w:sz w:val="15"/>
              </w:rPr>
              <w:t>Weak breadth raises fragility risk.</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C00000"/>
                <w:sz w:val="15"/>
              </w:rPr>
              <w:t>-0.18</w:t>
            </w:r>
          </w:p>
        </w:tc>
        <w:tc>
          <w:tcPr>
            <w:tcW w:type="dxa" w:w="8208"/>
            <w:vAlign w:val="top"/>
          </w:tcPr>
          <w:p>
            <w:pPr>
              <w:spacing w:after="20" w:line="240" w:lineRule="auto"/>
            </w:pPr>
            <w:r>
              <w:rPr>
                <w:rFonts w:ascii="Arial" w:hAnsi="Arial"/>
                <w:b w:val="0"/>
                <w:color w:val="595959"/>
                <w:sz w:val="15"/>
              </w:rPr>
              <w:t>Orderly volatility structure reduces risk-off odds.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Positioning and hedging</w:t>
            </w:r>
          </w:p>
        </w:tc>
        <w:tc>
          <w:tcPr>
            <w:tcW w:type="dxa" w:w="1152"/>
            <w:shd w:fill="F7F9FC"/>
            <w:vAlign w:val="top"/>
          </w:tcPr>
          <w:p>
            <w:pPr>
              <w:spacing w:after="20" w:line="240" w:lineRule="auto"/>
            </w:pPr>
            <w:r>
              <w:rPr>
                <w:rFonts w:ascii="Arial" w:hAnsi="Arial"/>
                <w:b w:val="0"/>
                <w:color w:val="595959"/>
                <w:sz w:val="15"/>
              </w:rPr>
              <w:t>positioning</w:t>
            </w:r>
          </w:p>
        </w:tc>
        <w:tc>
          <w:tcPr>
            <w:tcW w:type="dxa" w:w="1008"/>
            <w:shd w:fill="F7F9FC"/>
            <w:vAlign w:val="top"/>
          </w:tcPr>
          <w:p>
            <w:pPr>
              <w:spacing w:after="20" w:line="240" w:lineRule="auto"/>
            </w:pPr>
            <w:r>
              <w:rPr>
                <w:rFonts w:ascii="Arial" w:hAnsi="Arial"/>
                <w:b w:val="0"/>
                <w:color w:val="375623"/>
                <w:sz w:val="15"/>
              </w:rPr>
              <w:t>+0.12</w:t>
            </w:r>
          </w:p>
        </w:tc>
        <w:tc>
          <w:tcPr>
            <w:tcW w:type="dxa" w:w="8208"/>
            <w:shd w:fill="F7F9FC"/>
            <w:vAlign w:val="top"/>
          </w:tcPr>
          <w:p>
            <w:pPr>
              <w:spacing w:after="20" w:line="240" w:lineRule="auto"/>
            </w:pPr>
            <w:r>
              <w:rPr>
                <w:rFonts w:ascii="Arial" w:hAnsi="Arial"/>
                <w:b w:val="0"/>
                <w:color w:val="595959"/>
                <w:sz w:val="15"/>
              </w:rPr>
              <w:t>Elevated hedging also signals fragility.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 Spread Level</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-0.07</w:t>
            </w:r>
          </w:p>
        </w:tc>
        <w:tc>
          <w:tcPr>
            <w:tcW w:type="dxa" w:w="8208"/>
            <w:vAlign w:val="top"/>
          </w:tcPr>
          <w:p>
            <w:pPr>
              <w:spacing w:after="20" w:line="240" w:lineRule="auto"/>
            </w:pPr>
            <w:r>
              <w:rPr>
                <w:rFonts w:ascii="Arial" w:hAnsi="Arial"/>
                <w:b w:val="0"/>
                <w:color w:val="595959"/>
                <w:sz w:val="15"/>
              </w:rPr>
              <w:t>Tight HY spreads reduce risk-off odds.</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Vix Z 20D</w:t>
            </w:r>
          </w:p>
        </w:tc>
        <w:tc>
          <w:tcPr>
            <w:tcW w:type="dxa" w:w="1152"/>
            <w:shd w:fill="F7F9FC"/>
            <w:vAlign w:val="top"/>
          </w:tcPr>
          <w:p>
            <w:pPr>
              <w:spacing w:after="20" w:line="240" w:lineRule="auto"/>
            </w:pPr>
            <w:r>
              <w:rPr>
                <w:rFonts w:ascii="Arial" w:hAnsi="Arial"/>
                <w:b w:val="0"/>
                <w:color w:val="595959"/>
                <w:sz w:val="15"/>
              </w:rPr>
              <w:t>volatility</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VIX is elevated versus 20-day history.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NFCI inverted</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C00000"/>
                <w:sz w:val="15"/>
              </w:rPr>
              <w:t>-0.05</w:t>
            </w:r>
          </w:p>
        </w:tc>
        <w:tc>
          <w:tcPr>
            <w:tcW w:type="dxa" w:w="8208"/>
            <w:vAlign w:val="top"/>
          </w:tcPr>
          <w:p>
            <w:pPr>
              <w:spacing w:after="20" w:line="240" w:lineRule="auto"/>
            </w:pPr>
            <w:r>
              <w:rPr>
                <w:rFonts w:ascii="Arial" w:hAnsi="Arial"/>
                <w:b w:val="0"/>
                <w:color w:val="595959"/>
                <w:sz w:val="15"/>
              </w:rPr>
              <w:t>Easier liquidity reduces break risk.</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 Spread Z</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C00000"/>
                <w:sz w:val="15"/>
              </w:rPr>
              <w:t>-0.05</w:t>
            </w:r>
          </w:p>
        </w:tc>
        <w:tc>
          <w:tcPr>
            <w:tcW w:type="dxa" w:w="8208"/>
            <w:shd w:fill="F7F9FC"/>
            <w:vAlign w:val="top"/>
          </w:tcPr>
          <w:p>
            <w:pPr>
              <w:spacing w:after="20" w:line="240" w:lineRule="auto"/>
            </w:pPr>
            <w:r>
              <w:rPr>
                <w:rFonts w:ascii="Arial" w:hAnsi="Arial"/>
                <w:b w:val="0"/>
                <w:color w:val="595959"/>
                <w:sz w:val="15"/>
              </w:rPr>
              <w:t>HY spreads are tight versus recent history.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Rsp Vs Spy Z</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375623"/>
                <w:sz w:val="15"/>
              </w:rPr>
              <w:t>+0.05</w:t>
            </w:r>
          </w:p>
        </w:tc>
        <w:tc>
          <w:tcPr>
            <w:tcW w:type="dxa" w:w="8208"/>
            <w:vAlign w:val="top"/>
          </w:tcPr>
          <w:p>
            <w:pPr>
              <w:spacing w:after="20" w:line="240" w:lineRule="auto"/>
            </w:pPr>
            <w:r>
              <w:rPr>
                <w:rFonts w:ascii="Arial" w:hAnsi="Arial"/>
                <w:b w:val="0"/>
                <w:color w:val="595959"/>
                <w:sz w:val="15"/>
              </w:rPr>
              <w:t>rsp_vs_spy_z raises fragility.</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C00000"/>
                <w:sz w:val="15"/>
              </w:rPr>
              <w:t>-0.04</w:t>
            </w:r>
          </w:p>
        </w:tc>
        <w:tc>
          <w:tcPr>
            <w:tcW w:type="dxa" w:w="8208"/>
            <w:shd w:fill="F7F9FC"/>
            <w:vAlign w:val="top"/>
          </w:tcPr>
          <w:p>
            <w:pPr>
              <w:spacing w:after="20" w:line="240" w:lineRule="auto"/>
            </w:pPr>
            <w:r>
              <w:rPr>
                <w:rFonts w:ascii="Arial" w:hAnsi="Arial"/>
                <w:b w:val="0"/>
                <w:color w:val="595959"/>
                <w:sz w:val="15"/>
              </w:rPr>
              <w:t>pct_above_200d lowers market fragility.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Adl Slope</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-0.04</w:t>
            </w:r>
          </w:p>
        </w:tc>
        <w:tc>
          <w:tcPr>
            <w:tcW w:type="dxa" w:w="8208"/>
            <w:vAlign w:val="top"/>
          </w:tcPr>
          <w:p>
            <w:pPr>
              <w:spacing w:after="20" w:line="240" w:lineRule="auto"/>
            </w:pPr>
            <w:r>
              <w:rPr>
                <w:rFonts w:ascii="Arial" w:hAnsi="Arial"/>
                <w:b w:val="0"/>
                <w:color w:val="595959"/>
                <w:sz w:val="15"/>
              </w:rPr>
              <w:t>adl_slope lowers market fragility.</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Skew Index</w:t>
            </w:r>
          </w:p>
        </w:tc>
        <w:tc>
          <w:tcPr>
            <w:tcW w:type="dxa" w:w="1152"/>
            <w:shd w:fill="F7F9FC"/>
            <w:vAlign w:val="top"/>
          </w:tcPr>
          <w:p>
            <w:pPr>
              <w:spacing w:after="20" w:line="240" w:lineRule="auto"/>
            </w:pPr>
            <w:r>
              <w:rPr>
                <w:rFonts w:ascii="Arial" w:hAnsi="Arial"/>
                <w:b w:val="0"/>
                <w:color w:val="595959"/>
                <w:sz w:val="15"/>
              </w:rPr>
              <w:t>volatility</w:t>
            </w:r>
          </w:p>
        </w:tc>
        <w:tc>
          <w:tcPr>
            <w:tcW w:type="dxa" w:w="1008"/>
            <w:shd w:fill="F7F9FC"/>
            <w:vAlign w:val="top"/>
          </w:tcPr>
          <w:p>
            <w:pPr>
              <w:spacing w:after="20" w:line="240" w:lineRule="auto"/>
            </w:pPr>
            <w:r>
              <w:rPr>
                <w:rFonts w:ascii="Arial" w:hAnsi="Arial"/>
                <w:b w:val="0"/>
                <w:color w:val="375623"/>
                <w:sz w:val="15"/>
              </w:rPr>
              <w:t>+0.04</w:t>
            </w:r>
          </w:p>
        </w:tc>
        <w:tc>
          <w:tcPr>
            <w:tcW w:type="dxa" w:w="8208"/>
            <w:shd w:fill="F7F9FC"/>
            <w:vAlign w:val="top"/>
          </w:tcPr>
          <w:p>
            <w:pPr>
              <w:spacing w:after="20" w:line="240" w:lineRule="auto"/>
            </w:pPr>
            <w:r>
              <w:rPr>
                <w:rFonts w:ascii="Arial" w:hAnsi="Arial"/>
                <w:b w:val="0"/>
                <w:color w:val="595959"/>
                <w:sz w:val="15"/>
              </w:rPr>
              <w:t>Elevated SKEW signals tail hedging.</w:t>
            </w:r>
          </w:p>
        </w:tc>
      </w:tr>
    </w:tbl>
    <w:p>
      <w:pPr>
        <w:spacing w:after="120"/>
      </w:pPr>
    </w:p>
    <w:p>
      <w:pPr>
        <w:spacing w:before="320" w:after="140"/>
      </w:pPr>
      <w:r>
        <w:rPr>
          <w:rFonts w:ascii="Arial" w:hAnsi="Arial"/>
          <w:b/>
          <w:color w:val="1F4E79"/>
          <w:sz w:val="28"/>
        </w:rPr>
        <w:t>Historical Analogue Calibration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Enabled</w:t>
            </w:r>
          </w:p>
        </w:tc>
        <w:tc>
          <w:tcPr>
            <w:tcW w:type="dxa" w:w="11520"/>
            <w:vAlign w:val="top"/>
          </w:tcPr>
          <w:p>
            <w:pPr>
              <w:spacing w:after="20" w:line="240" w:lineRule="auto"/>
            </w:pPr>
            <w:r>
              <w:rPr>
                <w:rFonts w:ascii="Arial" w:hAnsi="Arial"/>
                <w:b w:val="0"/>
                <w:color w:val="375623"/>
                <w:sz w:val="15"/>
              </w:rPr>
              <w:t>yes</w:t>
            </w:r>
          </w:p>
        </w:tc>
      </w:tr>
      <w:tr>
        <w:tc>
          <w:tcPr>
            <w:tcW w:type="dxa" w:w="2160"/>
            <w:shd w:fill="EAF2F8"/>
            <w:vAlign w:val="top"/>
          </w:tcPr>
          <w:p>
            <w:pPr>
              <w:spacing w:after="20" w:line="240" w:lineRule="auto"/>
            </w:pPr>
            <w:r>
              <w:rPr>
                <w:rFonts w:ascii="Arial" w:hAnsi="Arial"/>
                <w:b/>
                <w:color w:val="1F4E79"/>
                <w:sz w:val="15"/>
              </w:rPr>
              <w:t>Method</w:t>
            </w:r>
          </w:p>
        </w:tc>
        <w:tc>
          <w:tcPr>
            <w:tcW w:type="dxa" w:w="11520"/>
            <w:vAlign w:val="top"/>
          </w:tcPr>
          <w:p>
            <w:pPr>
              <w:spacing w:after="20" w:line="240" w:lineRule="auto"/>
            </w:pPr>
            <w:r>
              <w:rPr>
                <w:rFonts w:ascii="Arial" w:hAnsi="Arial"/>
                <w:b w:val="0"/>
                <w:color w:val="595959"/>
                <w:sz w:val="15"/>
              </w:rPr>
              <w:t>rolling_composite</w:t>
            </w:r>
          </w:p>
        </w:tc>
      </w:tr>
      <w:tr>
        <w:tc>
          <w:tcPr>
            <w:tcW w:type="dxa" w:w="2160"/>
            <w:shd w:fill="EAF2F8"/>
            <w:vAlign w:val="top"/>
          </w:tcPr>
          <w:p>
            <w:pPr>
              <w:spacing w:after="20" w:line="240" w:lineRule="auto"/>
            </w:pPr>
            <w:r>
              <w:rPr>
                <w:rFonts w:ascii="Arial" w:hAnsi="Arial"/>
                <w:b/>
                <w:color w:val="1F4E79"/>
                <w:sz w:val="15"/>
              </w:rPr>
              <w:t>Analogue version</w:t>
            </w:r>
          </w:p>
        </w:tc>
        <w:tc>
          <w:tcPr>
            <w:tcW w:type="dxa" w:w="11520"/>
            <w:vAlign w:val="top"/>
          </w:tcPr>
          <w:p>
            <w:pPr>
              <w:spacing w:after="20" w:line="240" w:lineRule="auto"/>
            </w:pPr>
            <w:r>
              <w:rPr>
                <w:rFonts w:ascii="Arial" w:hAnsi="Arial"/>
                <w:b w:val="0"/>
                <w:color w:val="595959"/>
                <w:sz w:val="15"/>
              </w:rPr>
              <w:t>v2_detailed</w:t>
            </w:r>
          </w:p>
        </w:tc>
      </w:tr>
      <w:tr>
        <w:tc>
          <w:tcPr>
            <w:tcW w:type="dxa" w:w="2160"/>
            <w:shd w:fill="EAF2F8"/>
            <w:vAlign w:val="top"/>
          </w:tcPr>
          <w:p>
            <w:pPr>
              <w:spacing w:after="20" w:line="240" w:lineRule="auto"/>
            </w:pPr>
            <w:r>
              <w:rPr>
                <w:rFonts w:ascii="Arial" w:hAnsi="Arial"/>
                <w:b/>
                <w:color w:val="1F4E79"/>
                <w:sz w:val="15"/>
              </w:rPr>
              <w:t>Conditions summary</w:t>
            </w:r>
          </w:p>
        </w:tc>
        <w:tc>
          <w:tcPr>
            <w:tcW w:type="dxa" w:w="11520"/>
            <w:vAlign w:val="top"/>
          </w:tcPr>
          <w:p>
            <w:pPr>
              <w:spacing w:after="20" w:line="240" w:lineRule="auto"/>
            </w:pPr>
            <w:r>
              <w:rPr>
                <w:rFonts w:ascii="Arial" w:hAnsi="Arial"/>
                <w:b w:val="0"/>
                <w:color w:val="595959"/>
                <w:sz w:val="15"/>
              </w:rPr>
              <w:t>Mixed / Neutral; score avg 55, range 44-66; VIX avg 22.3, range 17.5-31.0; score trajectory sideways</w:t>
            </w:r>
          </w:p>
        </w:tc>
      </w:tr>
      <w:tr>
        <w:tc>
          <w:tcPr>
            <w:tcW w:type="dxa" w:w="2160"/>
            <w:shd w:fill="EAF2F8"/>
            <w:vAlign w:val="top"/>
          </w:tcPr>
          <w:p>
            <w:pPr>
              <w:spacing w:after="20" w:line="240" w:lineRule="auto"/>
            </w:pPr>
            <w:r>
              <w:rPr>
                <w:rFonts w:ascii="Arial" w:hAnsi="Arial"/>
                <w:b/>
                <w:color w:val="1F4E79"/>
                <w:sz w:val="15"/>
              </w:rPr>
              <w:t>Analogues</w:t>
            </w:r>
          </w:p>
        </w:tc>
        <w:tc>
          <w:tcPr>
            <w:tcW w:type="dxa" w:w="11520"/>
            <w:vAlign w:val="top"/>
          </w:tcPr>
          <w:p>
            <w:pPr>
              <w:spacing w:after="20" w:line="240" w:lineRule="auto"/>
            </w:pPr>
            <w:r>
              <w:rPr>
                <w:rFonts w:ascii="Arial" w:hAnsi="Arial"/>
                <w:b w:val="0"/>
                <w:color w:val="595959"/>
                <w:sz w:val="15"/>
              </w:rPr>
              <w:t>48</w:t>
            </w:r>
          </w:p>
        </w:tc>
      </w:tr>
      <w:tr>
        <w:tc>
          <w:tcPr>
            <w:tcW w:type="dxa" w:w="2160"/>
            <w:shd w:fill="EAF2F8"/>
            <w:vAlign w:val="top"/>
          </w:tcPr>
          <w:p>
            <w:pPr>
              <w:spacing w:after="20" w:line="240" w:lineRule="auto"/>
            </w:pPr>
            <w:r>
              <w:rPr>
                <w:rFonts w:ascii="Arial" w:hAnsi="Arial"/>
                <w:b/>
                <w:color w:val="1F4E79"/>
                <w:sz w:val="15"/>
              </w:rPr>
              <w:t>Unique / pooled</w:t>
            </w:r>
          </w:p>
        </w:tc>
        <w:tc>
          <w:tcPr>
            <w:tcW w:type="dxa" w:w="11520"/>
            <w:vAlign w:val="top"/>
          </w:tcPr>
          <w:p>
            <w:pPr>
              <w:spacing w:after="20" w:line="240" w:lineRule="auto"/>
            </w:pPr>
            <w:r>
              <w:rPr>
                <w:rFonts w:ascii="Arial" w:hAnsi="Arial"/>
                <w:b w:val="0"/>
                <w:color w:val="595959"/>
                <w:sz w:val="15"/>
              </w:rPr>
              <w:t>204 / 50</w:t>
            </w:r>
          </w:p>
        </w:tc>
      </w:tr>
      <w:tr>
        <w:tc>
          <w:tcPr>
            <w:tcW w:type="dxa" w:w="2160"/>
            <w:shd w:fill="EAF2F8"/>
            <w:vAlign w:val="top"/>
          </w:tcPr>
          <w:p>
            <w:pPr>
              <w:spacing w:after="20" w:line="240" w:lineRule="auto"/>
            </w:pPr>
            <w:r>
              <w:rPr>
                <w:rFonts w:ascii="Arial" w:hAnsi="Arial"/>
                <w:b/>
                <w:color w:val="1F4E79"/>
                <w:sz w:val="15"/>
              </w:rPr>
              <w:t>Confidence</w:t>
            </w:r>
          </w:p>
        </w:tc>
        <w:tc>
          <w:tcPr>
            <w:tcW w:type="dxa" w:w="11520"/>
            <w:vAlign w:val="top"/>
          </w:tcPr>
          <w:p>
            <w:pPr>
              <w:spacing w:after="20" w:line="240" w:lineRule="auto"/>
            </w:pPr>
            <w:r>
              <w:rPr>
                <w:rFonts w:ascii="Arial" w:hAnsi="Arial"/>
                <w:b w:val="0"/>
                <w:color w:val="595959"/>
                <w:sz w:val="15"/>
              </w:rPr>
              <w:t>0.79</w:t>
            </w:r>
          </w:p>
        </w:tc>
      </w:tr>
      <w:tr>
        <w:tc>
          <w:tcPr>
            <w:tcW w:type="dxa" w:w="2160"/>
            <w:shd w:fill="EAF2F8"/>
            <w:vAlign w:val="top"/>
          </w:tcPr>
          <w:p>
            <w:pPr>
              <w:spacing w:after="20" w:line="240" w:lineRule="auto"/>
            </w:pPr>
            <w:r>
              <w:rPr>
                <w:rFonts w:ascii="Arial" w:hAnsi="Arial"/>
                <w:b/>
                <w:color w:val="1F4E79"/>
                <w:sz w:val="15"/>
              </w:rPr>
              <w:t>Warnings</w:t>
            </w:r>
          </w:p>
        </w:tc>
        <w:tc>
          <w:tcPr>
            <w:tcW w:type="dxa" w:w="11520"/>
            <w:vAlign w:val="top"/>
          </w:tcPr>
          <w:p>
            <w:pPr>
              <w:spacing w:after="20" w:line="240" w:lineRule="auto"/>
            </w:pPr>
            <w:r>
              <w:rPr>
                <w:rFonts w:ascii="Arial" w:hAnsi="Arial"/>
                <w:b w:val="0"/>
                <w:color w:val="C00000"/>
                <w:sz w:val="15"/>
              </w:rPr>
              <w:t>- Macro-horizon drawdown/upside columns unavailable; only return-distribution risk shown.</w:t>
              <w:br/>
              <w:t>- Selected scenario mapping horizon 63d unavailable for one or more analogues; used fallback 21d return.</w:t>
              <w:br/>
              <w:t>- Shock-window filter excluded 2 analogue(s) from 63d scenario mapping.</w:t>
              <w:br/>
              <w:t>- commodities_oil group is missing or sparse while oil-tail calibration may be active.</w:t>
              <w:br/>
              <w:t>- rates_fx group is missing or sparse while Fed path/rates drivers may be active.</w:t>
              <w:br/>
              <w:t>- theme_catalysts group is missing or sparse while AI capex scenario calibration may be active.</w:t>
            </w:r>
          </w:p>
        </w:tc>
      </w:tr>
    </w:tbl>
    <w:p>
      <w:pPr>
        <w:spacing w:after="120"/>
      </w:pPr>
    </w:p>
    <w:p>
      <w:pPr>
        <w:spacing w:before="180" w:after="80"/>
      </w:pPr>
      <w:r>
        <w:rPr>
          <w:rFonts w:ascii="Arial" w:hAnsi="Arial"/>
          <w:b/>
          <w:color w:val="2E75B6"/>
          <w:sz w:val="21"/>
        </w:rPr>
        <w:t>Shock Window Diagnostics</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Mode</w:t>
            </w:r>
          </w:p>
        </w:tc>
        <w:tc>
          <w:tcPr>
            <w:tcW w:type="dxa" w:w="11520"/>
            <w:vAlign w:val="top"/>
          </w:tcPr>
          <w:p>
            <w:pPr>
              <w:spacing w:after="20" w:line="240" w:lineRule="auto"/>
            </w:pPr>
            <w:r>
              <w:rPr>
                <w:rFonts w:ascii="Arial" w:hAnsi="Arial"/>
                <w:b w:val="0"/>
                <w:color w:val="595959"/>
                <w:sz w:val="15"/>
              </w:rPr>
              <w:t>exclude</w:t>
            </w:r>
          </w:p>
        </w:tc>
      </w:tr>
      <w:tr>
        <w:tc>
          <w:tcPr>
            <w:tcW w:type="dxa" w:w="2160"/>
            <w:shd w:fill="EAF2F8"/>
            <w:vAlign w:val="top"/>
          </w:tcPr>
          <w:p>
            <w:pPr>
              <w:spacing w:after="20" w:line="240" w:lineRule="auto"/>
            </w:pPr>
            <w:r>
              <w:rPr>
                <w:rFonts w:ascii="Arial" w:hAnsi="Arial"/>
                <w:b/>
                <w:color w:val="1F4E79"/>
                <w:sz w:val="15"/>
              </w:rPr>
              <w:t>Shock windows applied</w:t>
            </w:r>
          </w:p>
        </w:tc>
        <w:tc>
          <w:tcPr>
            <w:tcW w:type="dxa" w:w="11520"/>
            <w:vAlign w:val="top"/>
          </w:tcPr>
          <w:p>
            <w:pPr>
              <w:spacing w:after="20" w:line="240" w:lineRule="auto"/>
            </w:pPr>
            <w:r>
              <w:rPr>
                <w:rFonts w:ascii="Arial" w:hAnsi="Arial"/>
                <w:b w:val="0"/>
                <w:color w:val="595959"/>
                <w:sz w:val="15"/>
              </w:rPr>
              <w:t>covid_crash 02/19/20 to 04/30/20</w:t>
            </w:r>
          </w:p>
        </w:tc>
      </w:tr>
      <w:tr>
        <w:tc>
          <w:tcPr>
            <w:tcW w:type="dxa" w:w="2160"/>
            <w:shd w:fill="EAF2F8"/>
            <w:vAlign w:val="top"/>
          </w:tcPr>
          <w:p>
            <w:pPr>
              <w:spacing w:after="20" w:line="240" w:lineRule="auto"/>
            </w:pPr>
            <w:r>
              <w:rPr>
                <w:rFonts w:ascii="Arial" w:hAnsi="Arial"/>
                <w:b/>
                <w:color w:val="1F4E79"/>
                <w:sz w:val="15"/>
              </w:rPr>
              <w:t>Rows excluded by horizon</w:t>
            </w:r>
          </w:p>
        </w:tc>
        <w:tc>
          <w:tcPr>
            <w:tcW w:type="dxa" w:w="11520"/>
            <w:vAlign w:val="top"/>
          </w:tcPr>
          <w:p>
            <w:pPr>
              <w:spacing w:after="20" w:line="240" w:lineRule="auto"/>
            </w:pPr>
            <w:r>
              <w:rPr>
                <w:rFonts w:ascii="Arial" w:hAnsi="Arial"/>
                <w:b w:val="0"/>
                <w:color w:val="595959"/>
                <w:sz w:val="15"/>
              </w:rPr>
              <w:t>63d: 2; 126d: 2; 252d: 2</w:t>
            </w:r>
          </w:p>
        </w:tc>
      </w:tr>
      <w:tr>
        <w:tc>
          <w:tcPr>
            <w:tcW w:type="dxa" w:w="2160"/>
            <w:shd w:fill="EAF2F8"/>
            <w:vAlign w:val="top"/>
          </w:tcPr>
          <w:p>
            <w:pPr>
              <w:spacing w:after="20" w:line="240" w:lineRule="auto"/>
            </w:pPr>
            <w:r>
              <w:rPr>
                <w:rFonts w:ascii="Arial" w:hAnsi="Arial"/>
                <w:b/>
                <w:color w:val="1F4E79"/>
                <w:sz w:val="15"/>
              </w:rPr>
              <w:t>Analogue dates excluded from scenario mapping</w:t>
            </w:r>
          </w:p>
        </w:tc>
        <w:tc>
          <w:tcPr>
            <w:tcW w:type="dxa" w:w="11520"/>
            <w:vAlign w:val="top"/>
          </w:tcPr>
          <w:p>
            <w:pPr>
              <w:spacing w:after="20" w:line="240" w:lineRule="auto"/>
            </w:pPr>
            <w:r>
              <w:rPr>
                <w:rFonts w:ascii="Arial" w:hAnsi="Arial"/>
                <w:b w:val="0"/>
                <w:color w:val="595959"/>
                <w:sz w:val="15"/>
              </w:rPr>
              <w:t>12/13/19, 01/14/20</w:t>
            </w:r>
          </w:p>
        </w:tc>
      </w:tr>
      <w:tr>
        <w:tc>
          <w:tcPr>
            <w:tcW w:type="dxa" w:w="2160"/>
            <w:shd w:fill="EAF2F8"/>
            <w:vAlign w:val="top"/>
          </w:tcPr>
          <w:p>
            <w:pPr>
              <w:spacing w:after="20" w:line="240" w:lineRule="auto"/>
            </w:pPr>
            <w:r>
              <w:rPr>
                <w:rFonts w:ascii="Arial" w:hAnsi="Arial"/>
                <w:b/>
                <w:color w:val="1F4E79"/>
                <w:sz w:val="15"/>
              </w:rPr>
              <w:t>Scenario mapping horizon</w:t>
            </w:r>
          </w:p>
        </w:tc>
        <w:tc>
          <w:tcPr>
            <w:tcW w:type="dxa" w:w="11520"/>
            <w:vAlign w:val="top"/>
          </w:tcPr>
          <w:p>
            <w:pPr>
              <w:spacing w:after="20" w:line="240" w:lineRule="auto"/>
            </w:pPr>
            <w:r>
              <w:rPr>
                <w:rFonts w:ascii="Arial" w:hAnsi="Arial"/>
                <w:b w:val="0"/>
                <w:color w:val="595959"/>
                <w:sz w:val="15"/>
              </w:rPr>
              <w:t>63d</w:t>
            </w:r>
          </w:p>
        </w:tc>
      </w:tr>
      <w:tr>
        <w:tc>
          <w:tcPr>
            <w:tcW w:type="dxa" w:w="2160"/>
            <w:shd w:fill="EAF2F8"/>
            <w:vAlign w:val="top"/>
          </w:tcPr>
          <w:p>
            <w:pPr>
              <w:spacing w:after="20" w:line="240" w:lineRule="auto"/>
            </w:pPr>
            <w:r>
              <w:rPr>
                <w:rFonts w:ascii="Arial" w:hAnsi="Arial"/>
                <w:b/>
                <w:color w:val="1F4E79"/>
                <w:sz w:val="15"/>
              </w:rPr>
              <w:t>Historical probabilities changed</w:t>
            </w:r>
          </w:p>
        </w:tc>
        <w:tc>
          <w:tcPr>
            <w:tcW w:type="dxa" w:w="11520"/>
            <w:vAlign w:val="top"/>
          </w:tcPr>
          <w:p>
            <w:pPr>
              <w:spacing w:after="20" w:line="240" w:lineRule="auto"/>
            </w:pPr>
            <w:r>
              <w:rPr>
                <w:rFonts w:ascii="Arial" w:hAnsi="Arial"/>
                <w:b w:val="0"/>
                <w:color w:val="375623"/>
                <w:sz w:val="15"/>
              </w:rPr>
              <w:t>yes</w:t>
            </w:r>
          </w:p>
        </w:tc>
      </w:tr>
    </w:tbl>
    <w:p>
      <w:pPr>
        <w:spacing w:after="120"/>
      </w:pPr>
    </w:p>
    <w:p>
      <w:pPr>
        <w:spacing w:before="180" w:after="80"/>
      </w:pPr>
      <w:r>
        <w:rPr>
          <w:rFonts w:ascii="Arial" w:hAnsi="Arial"/>
          <w:b/>
          <w:color w:val="2E75B6"/>
          <w:sz w:val="21"/>
        </w:rPr>
        <w:t>Detailed Analogue Match Quality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V1 broad-state weight</w:t>
            </w:r>
          </w:p>
        </w:tc>
        <w:tc>
          <w:tcPr>
            <w:tcW w:type="dxa" w:w="11520"/>
            <w:vAlign w:val="top"/>
          </w:tcPr>
          <w:p>
            <w:pPr>
              <w:spacing w:after="20" w:line="240" w:lineRule="auto"/>
            </w:pPr>
            <w:r>
              <w:rPr>
                <w:rFonts w:ascii="Arial" w:hAnsi="Arial"/>
                <w:b w:val="0"/>
                <w:color w:val="595959"/>
                <w:sz w:val="15"/>
              </w:rPr>
              <w:t>0.40</w:t>
            </w:r>
          </w:p>
        </w:tc>
      </w:tr>
      <w:tr>
        <w:tc>
          <w:tcPr>
            <w:tcW w:type="dxa" w:w="2160"/>
            <w:shd w:fill="EAF2F8"/>
            <w:vAlign w:val="top"/>
          </w:tcPr>
          <w:p>
            <w:pPr>
              <w:spacing w:after="20" w:line="240" w:lineRule="auto"/>
            </w:pPr>
            <w:r>
              <w:rPr>
                <w:rFonts w:ascii="Arial" w:hAnsi="Arial"/>
                <w:b/>
                <w:color w:val="1F4E79"/>
                <w:sz w:val="15"/>
              </w:rPr>
              <w:t>V2 detailed-input weight</w:t>
            </w:r>
          </w:p>
        </w:tc>
        <w:tc>
          <w:tcPr>
            <w:tcW w:type="dxa" w:w="11520"/>
            <w:vAlign w:val="top"/>
          </w:tcPr>
          <w:p>
            <w:pPr>
              <w:spacing w:after="20" w:line="240" w:lineRule="auto"/>
            </w:pPr>
            <w:r>
              <w:rPr>
                <w:rFonts w:ascii="Arial" w:hAnsi="Arial"/>
                <w:b w:val="0"/>
                <w:color w:val="595959"/>
                <w:sz w:val="15"/>
              </w:rPr>
              <w:t>0.60</w:t>
            </w:r>
          </w:p>
        </w:tc>
      </w:tr>
      <w:tr>
        <w:tc>
          <w:tcPr>
            <w:tcW w:type="dxa" w:w="2160"/>
            <w:shd w:fill="EAF2F8"/>
            <w:vAlign w:val="top"/>
          </w:tcPr>
          <w:p>
            <w:pPr>
              <w:spacing w:after="20" w:line="240" w:lineRule="auto"/>
            </w:pPr>
            <w:r>
              <w:rPr>
                <w:rFonts w:ascii="Arial" w:hAnsi="Arial"/>
                <w:b/>
                <w:color w:val="1F4E79"/>
                <w:sz w:val="15"/>
              </w:rPr>
              <w:t>Candidate pool size</w:t>
            </w:r>
          </w:p>
        </w:tc>
        <w:tc>
          <w:tcPr>
            <w:tcW w:type="dxa" w:w="11520"/>
            <w:vAlign w:val="top"/>
          </w:tcPr>
          <w:p>
            <w:pPr>
              <w:spacing w:after="20" w:line="240" w:lineRule="auto"/>
            </w:pPr>
            <w:r>
              <w:rPr>
                <w:rFonts w:ascii="Arial" w:hAnsi="Arial"/>
                <w:b w:val="0"/>
                <w:color w:val="595959"/>
                <w:sz w:val="15"/>
              </w:rPr>
              <w:t>300</w:t>
            </w:r>
          </w:p>
        </w:tc>
      </w:tr>
      <w:tr>
        <w:tc>
          <w:tcPr>
            <w:tcW w:type="dxa" w:w="2160"/>
            <w:shd w:fill="EAF2F8"/>
            <w:vAlign w:val="top"/>
          </w:tcPr>
          <w:p>
            <w:pPr>
              <w:spacing w:after="20" w:line="240" w:lineRule="auto"/>
            </w:pPr>
            <w:r>
              <w:rPr>
                <w:rFonts w:ascii="Arial" w:hAnsi="Arial"/>
                <w:b/>
                <w:color w:val="1F4E79"/>
                <w:sz w:val="15"/>
              </w:rPr>
              <w:t>Effective sample size</w:t>
            </w:r>
          </w:p>
        </w:tc>
        <w:tc>
          <w:tcPr>
            <w:tcW w:type="dxa" w:w="11520"/>
            <w:vAlign w:val="top"/>
          </w:tcPr>
          <w:p>
            <w:pPr>
              <w:spacing w:after="20" w:line="240" w:lineRule="auto"/>
            </w:pPr>
            <w:r>
              <w:rPr>
                <w:rFonts w:ascii="Arial" w:hAnsi="Arial"/>
                <w:b w:val="0"/>
                <w:color w:val="595959"/>
                <w:sz w:val="15"/>
              </w:rPr>
              <w:t>47.10</w:t>
            </w:r>
          </w:p>
        </w:tc>
      </w:tr>
      <w:tr>
        <w:tc>
          <w:tcPr>
            <w:tcW w:type="dxa" w:w="2160"/>
            <w:shd w:fill="EAF2F8"/>
            <w:vAlign w:val="top"/>
          </w:tcPr>
          <w:p>
            <w:pPr>
              <w:spacing w:after="20" w:line="240" w:lineRule="auto"/>
            </w:pPr>
            <w:r>
              <w:rPr>
                <w:rFonts w:ascii="Arial" w:hAnsi="Arial"/>
                <w:b/>
                <w:color w:val="1F4E79"/>
                <w:sz w:val="15"/>
              </w:rPr>
              <w:t>Adjusted deterministic weight</w:t>
            </w:r>
          </w:p>
        </w:tc>
        <w:tc>
          <w:tcPr>
            <w:tcW w:type="dxa" w:w="11520"/>
            <w:vAlign w:val="top"/>
          </w:tcPr>
          <w:p>
            <w:pPr>
              <w:spacing w:after="20" w:line="240" w:lineRule="auto"/>
            </w:pPr>
            <w:r>
              <w:rPr>
                <w:rFonts w:ascii="Arial" w:hAnsi="Arial"/>
                <w:b w:val="0"/>
                <w:color w:val="595959"/>
                <w:sz w:val="15"/>
              </w:rPr>
              <w:t>n/a</w:t>
            </w:r>
          </w:p>
        </w:tc>
      </w:tr>
      <w:tr>
        <w:tc>
          <w:tcPr>
            <w:tcW w:type="dxa" w:w="2160"/>
            <w:shd w:fill="EAF2F8"/>
            <w:vAlign w:val="top"/>
          </w:tcPr>
          <w:p>
            <w:pPr>
              <w:spacing w:after="20" w:line="240" w:lineRule="auto"/>
            </w:pPr>
            <w:r>
              <w:rPr>
                <w:rFonts w:ascii="Arial" w:hAnsi="Arial"/>
                <w:b/>
                <w:color w:val="1F4E79"/>
                <w:sz w:val="15"/>
              </w:rPr>
              <w:t>Adjusted historical weight</w:t>
            </w:r>
          </w:p>
        </w:tc>
        <w:tc>
          <w:tcPr>
            <w:tcW w:type="dxa" w:w="11520"/>
            <w:vAlign w:val="top"/>
          </w:tcPr>
          <w:p>
            <w:pPr>
              <w:spacing w:after="20" w:line="240" w:lineRule="auto"/>
            </w:pPr>
            <w:r>
              <w:rPr>
                <w:rFonts w:ascii="Arial" w:hAnsi="Arial"/>
                <w:b w:val="0"/>
                <w:color w:val="595959"/>
                <w:sz w:val="15"/>
              </w:rPr>
              <w:t>n/a</w:t>
            </w:r>
          </w:p>
        </w:tc>
      </w:tr>
      <w:tr>
        <w:tc>
          <w:tcPr>
            <w:tcW w:type="dxa" w:w="2160"/>
            <w:shd w:fill="EAF2F8"/>
            <w:vAlign w:val="top"/>
          </w:tcPr>
          <w:p>
            <w:pPr>
              <w:spacing w:after="20" w:line="240" w:lineRule="auto"/>
            </w:pPr>
            <w:r>
              <w:rPr>
                <w:rFonts w:ascii="Arial" w:hAnsi="Arial"/>
                <w:b/>
                <w:color w:val="1F4E79"/>
                <w:sz w:val="15"/>
              </w:rPr>
              <w:t>Average detailed similarity</w:t>
            </w:r>
          </w:p>
        </w:tc>
        <w:tc>
          <w:tcPr>
            <w:tcW w:type="dxa" w:w="11520"/>
            <w:vAlign w:val="top"/>
          </w:tcPr>
          <w:p>
            <w:pPr>
              <w:spacing w:after="20" w:line="240" w:lineRule="auto"/>
            </w:pPr>
            <w:r>
              <w:rPr>
                <w:rFonts w:ascii="Arial" w:hAnsi="Arial"/>
                <w:b w:val="0"/>
                <w:color w:val="595959"/>
                <w:sz w:val="15"/>
              </w:rPr>
              <w:t>61.83</w:t>
            </w:r>
          </w:p>
        </w:tc>
      </w:tr>
      <w:tr>
        <w:tc>
          <w:tcPr>
            <w:tcW w:type="dxa" w:w="2160"/>
            <w:shd w:fill="EAF2F8"/>
            <w:vAlign w:val="top"/>
          </w:tcPr>
          <w:p>
            <w:pPr>
              <w:spacing w:after="20" w:line="240" w:lineRule="auto"/>
            </w:pPr>
            <w:r>
              <w:rPr>
                <w:rFonts w:ascii="Arial" w:hAnsi="Arial"/>
                <w:b/>
                <w:color w:val="1F4E79"/>
                <w:sz w:val="15"/>
              </w:rPr>
              <w:t>Average blended similarity</w:t>
            </w:r>
          </w:p>
        </w:tc>
        <w:tc>
          <w:tcPr>
            <w:tcW w:type="dxa" w:w="11520"/>
            <w:vAlign w:val="top"/>
          </w:tcPr>
          <w:p>
            <w:pPr>
              <w:spacing w:after="20" w:line="240" w:lineRule="auto"/>
            </w:pPr>
            <w:r>
              <w:rPr>
                <w:rFonts w:ascii="Arial" w:hAnsi="Arial"/>
                <w:b w:val="0"/>
                <w:color w:val="595959"/>
                <w:sz w:val="15"/>
              </w:rPr>
              <w:t>74.61</w:t>
            </w:r>
          </w:p>
        </w:tc>
      </w:tr>
      <w:tr>
        <w:tc>
          <w:tcPr>
            <w:tcW w:type="dxa" w:w="2160"/>
            <w:shd w:fill="EAF2F8"/>
            <w:vAlign w:val="top"/>
          </w:tcPr>
          <w:p>
            <w:pPr>
              <w:spacing w:after="20" w:line="240" w:lineRule="auto"/>
            </w:pPr>
            <w:r>
              <w:rPr>
                <w:rFonts w:ascii="Arial" w:hAnsi="Arial"/>
                <w:b/>
                <w:color w:val="1F4E79"/>
                <w:sz w:val="15"/>
              </w:rPr>
              <w:t>Strongest groups</w:t>
            </w:r>
          </w:p>
        </w:tc>
        <w:tc>
          <w:tcPr>
            <w:tcW w:type="dxa" w:w="11520"/>
            <w:vAlign w:val="top"/>
          </w:tcPr>
          <w:p>
            <w:pPr>
              <w:spacing w:after="20" w:line="240" w:lineRule="auto"/>
            </w:pPr>
            <w:r>
              <w:rPr>
                <w:rFonts w:ascii="Arial" w:hAnsi="Arial"/>
                <w:b w:val="0"/>
                <w:color w:val="595959"/>
                <w:sz w:val="15"/>
              </w:rPr>
              <w:t>credit, monetary_liquidity, breadth_market_structure</w:t>
            </w:r>
          </w:p>
        </w:tc>
      </w:tr>
      <w:tr>
        <w:tc>
          <w:tcPr>
            <w:tcW w:type="dxa" w:w="2160"/>
            <w:shd w:fill="EAF2F8"/>
            <w:vAlign w:val="top"/>
          </w:tcPr>
          <w:p>
            <w:pPr>
              <w:spacing w:after="20" w:line="240" w:lineRule="auto"/>
            </w:pPr>
            <w:r>
              <w:rPr>
                <w:rFonts w:ascii="Arial" w:hAnsi="Arial"/>
                <w:b/>
                <w:color w:val="1F4E79"/>
                <w:sz w:val="15"/>
              </w:rPr>
              <w:t>Weakest groups</w:t>
            </w:r>
          </w:p>
        </w:tc>
        <w:tc>
          <w:tcPr>
            <w:tcW w:type="dxa" w:w="11520"/>
            <w:vAlign w:val="top"/>
          </w:tcPr>
          <w:p>
            <w:pPr>
              <w:spacing w:after="20" w:line="240" w:lineRule="auto"/>
            </w:pPr>
            <w:r>
              <w:rPr>
                <w:rFonts w:ascii="Arial" w:hAnsi="Arial"/>
                <w:b w:val="0"/>
                <w:color w:val="595959"/>
                <w:sz w:val="15"/>
              </w:rPr>
              <w:t>positioning, volatility, breadth_market_structure</w:t>
            </w:r>
          </w:p>
        </w:tc>
      </w:tr>
      <w:tr>
        <w:tc>
          <w:tcPr>
            <w:tcW w:type="dxa" w:w="2160"/>
            <w:shd w:fill="EAF2F8"/>
            <w:vAlign w:val="top"/>
          </w:tcPr>
          <w:p>
            <w:pPr>
              <w:spacing w:after="20" w:line="240" w:lineRule="auto"/>
            </w:pPr>
            <w:r>
              <w:rPr>
                <w:rFonts w:ascii="Arial" w:hAnsi="Arial"/>
                <w:b/>
                <w:color w:val="1F4E79"/>
                <w:sz w:val="15"/>
              </w:rPr>
              <w:t>Missing important features</w:t>
            </w:r>
          </w:p>
        </w:tc>
        <w:tc>
          <w:tcPr>
            <w:tcW w:type="dxa" w:w="11520"/>
            <w:vAlign w:val="top"/>
          </w:tcPr>
          <w:p>
            <w:pPr>
              <w:spacing w:after="20" w:line="240" w:lineRule="auto"/>
            </w:pPr>
            <w:r>
              <w:rPr>
                <w:rFonts w:ascii="Arial" w:hAnsi="Arial"/>
                <w:b w:val="0"/>
                <w:color w:val="595959"/>
                <w:sz w:val="15"/>
              </w:rPr>
              <w:t>-</w:t>
            </w:r>
          </w:p>
        </w:tc>
      </w:tr>
    </w:tbl>
    <w:p>
      <w:pPr>
        <w:spacing w:after="120"/>
      </w:pP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440"/>
            <w:shd w:fill="1F4E79"/>
            <w:vAlign w:val="top"/>
          </w:tcPr>
          <w:p>
            <w:pPr>
              <w:spacing w:after="20" w:line="240" w:lineRule="auto"/>
            </w:pPr>
            <w:r>
              <w:rPr>
                <w:rFonts w:ascii="Arial" w:hAnsi="Arial"/>
                <w:b/>
                <w:color w:val="FFFFFF"/>
                <w:sz w:val="15"/>
              </w:rPr>
              <w:t>Group</w:t>
            </w:r>
          </w:p>
        </w:tc>
        <w:tc>
          <w:tcPr>
            <w:tcW w:type="dxa" w:w="864"/>
            <w:shd w:fill="1F4E79"/>
            <w:vAlign w:val="top"/>
          </w:tcPr>
          <w:p>
            <w:pPr>
              <w:spacing w:after="20" w:line="240" w:lineRule="auto"/>
            </w:pPr>
            <w:r>
              <w:rPr>
                <w:rFonts w:ascii="Arial" w:hAnsi="Arial"/>
                <w:b/>
                <w:color w:val="FFFFFF"/>
                <w:sz w:val="15"/>
              </w:rPr>
              <w:t>Avg Similarity</w:t>
            </w:r>
          </w:p>
        </w:tc>
        <w:tc>
          <w:tcPr>
            <w:tcW w:type="dxa" w:w="792"/>
            <w:shd w:fill="1F4E79"/>
            <w:vAlign w:val="top"/>
          </w:tcPr>
          <w:p>
            <w:pPr>
              <w:spacing w:after="20" w:line="240" w:lineRule="auto"/>
            </w:pPr>
            <w:r>
              <w:rPr>
                <w:rFonts w:ascii="Arial" w:hAnsi="Arial"/>
                <w:b/>
                <w:color w:val="FFFFFF"/>
                <w:sz w:val="15"/>
              </w:rPr>
              <w:t>Features Used</w:t>
            </w:r>
          </w:p>
        </w:tc>
        <w:tc>
          <w:tcPr>
            <w:tcW w:type="dxa" w:w="936"/>
            <w:shd w:fill="1F4E79"/>
            <w:vAlign w:val="top"/>
          </w:tcPr>
          <w:p>
            <w:pPr>
              <w:spacing w:after="20" w:line="240" w:lineRule="auto"/>
            </w:pPr>
            <w:r>
              <w:rPr>
                <w:rFonts w:ascii="Arial" w:hAnsi="Arial"/>
                <w:b/>
                <w:color w:val="FFFFFF"/>
                <w:sz w:val="15"/>
              </w:rPr>
              <w:t>Features Missing</w:t>
            </w:r>
          </w:p>
        </w:tc>
        <w:tc>
          <w:tcPr>
            <w:tcW w:type="dxa" w:w="792"/>
            <w:shd w:fill="1F4E79"/>
            <w:vAlign w:val="top"/>
          </w:tcPr>
          <w:p>
            <w:pPr>
              <w:spacing w:after="20" w:line="240" w:lineRule="auto"/>
            </w:pPr>
            <w:r>
              <w:rPr>
                <w:rFonts w:ascii="Arial" w:hAnsi="Arial"/>
                <w:b/>
                <w:color w:val="FFFFFF"/>
                <w:sz w:val="15"/>
              </w:rPr>
              <w:t>Coverage</w:t>
            </w:r>
          </w:p>
        </w:tc>
        <w:tc>
          <w:tcPr>
            <w:tcW w:type="dxa" w:w="2520"/>
            <w:shd w:fill="1F4E79"/>
            <w:vAlign w:val="top"/>
          </w:tcPr>
          <w:p>
            <w:pPr>
              <w:spacing w:after="20" w:line="240" w:lineRule="auto"/>
            </w:pPr>
            <w:r>
              <w:rPr>
                <w:rFonts w:ascii="Arial" w:hAnsi="Arial"/>
                <w:b/>
                <w:color w:val="FFFFFF"/>
                <w:sz w:val="15"/>
              </w:rPr>
              <w:t>Used Feature IDs</w:t>
            </w:r>
          </w:p>
        </w:tc>
        <w:tc>
          <w:tcPr>
            <w:tcW w:type="dxa" w:w="2520"/>
            <w:shd w:fill="1F4E79"/>
            <w:vAlign w:val="top"/>
          </w:tcPr>
          <w:p>
            <w:pPr>
              <w:spacing w:after="20" w:line="240" w:lineRule="auto"/>
            </w:pPr>
            <w:r>
              <w:rPr>
                <w:rFonts w:ascii="Arial" w:hAnsi="Arial"/>
                <w:b/>
                <w:color w:val="FFFFFF"/>
                <w:sz w:val="15"/>
              </w:rPr>
              <w:t>Missing Feature IDs</w:t>
            </w:r>
          </w:p>
        </w:tc>
        <w:tc>
          <w:tcPr>
            <w:tcW w:type="dxa" w:w="2736"/>
            <w:shd w:fill="1F4E79"/>
            <w:vAlign w:val="top"/>
          </w:tcPr>
          <w:p>
            <w:pPr>
              <w:spacing w:after="20" w:line="240" w:lineRule="auto"/>
            </w:pPr>
            <w:r>
              <w:rPr>
                <w:rFonts w:ascii="Arial" w:hAnsi="Arial"/>
                <w:b/>
                <w:color w:val="FFFFFF"/>
                <w:sz w:val="15"/>
              </w:rPr>
              <w:t>Interpretation</w:t>
            </w:r>
          </w:p>
        </w:tc>
      </w:tr>
      <w:tr>
        <w:tc>
          <w:tcPr>
            <w:tcW w:type="dxa" w:w="1440"/>
            <w:vAlign w:val="top"/>
          </w:tcPr>
          <w:p>
            <w:pPr>
              <w:spacing w:after="20" w:line="240" w:lineRule="auto"/>
            </w:pPr>
            <w:r>
              <w:rPr>
                <w:rFonts w:ascii="Arial" w:hAnsi="Arial"/>
                <w:b w:val="0"/>
                <w:color w:val="595959"/>
                <w:sz w:val="15"/>
              </w:rPr>
              <w:t>breadth_market_structure</w:t>
            </w:r>
          </w:p>
        </w:tc>
        <w:tc>
          <w:tcPr>
            <w:tcW w:type="dxa" w:w="864"/>
            <w:vAlign w:val="top"/>
          </w:tcPr>
          <w:p>
            <w:pPr>
              <w:spacing w:after="20" w:line="240" w:lineRule="auto"/>
            </w:pPr>
            <w:r>
              <w:rPr>
                <w:rFonts w:ascii="Arial" w:hAnsi="Arial"/>
                <w:b w:val="0"/>
                <w:color w:val="595959"/>
                <w:sz w:val="15"/>
              </w:rPr>
              <w:t>68.06</w:t>
            </w:r>
          </w:p>
        </w:tc>
        <w:tc>
          <w:tcPr>
            <w:tcW w:type="dxa" w:w="792"/>
            <w:vAlign w:val="top"/>
          </w:tcPr>
          <w:p>
            <w:pPr>
              <w:spacing w:after="20" w:line="240" w:lineRule="auto"/>
            </w:pPr>
            <w:r>
              <w:rPr>
                <w:rFonts w:ascii="Arial" w:hAnsi="Arial"/>
                <w:b w:val="0"/>
                <w:color w:val="595959"/>
                <w:sz w:val="15"/>
              </w:rPr>
              <w:t>194</w:t>
            </w:r>
          </w:p>
        </w:tc>
        <w:tc>
          <w:tcPr>
            <w:tcW w:type="dxa" w:w="936"/>
            <w:vAlign w:val="top"/>
          </w:tcPr>
          <w:p>
            <w:pPr>
              <w:spacing w:after="20" w:line="240" w:lineRule="auto"/>
            </w:pPr>
            <w:r>
              <w:rPr>
                <w:rFonts w:ascii="Arial" w:hAnsi="Arial"/>
                <w:b w:val="0"/>
                <w:color w:val="595959"/>
                <w:sz w:val="15"/>
              </w:rPr>
              <w:t>56</w:t>
            </w:r>
          </w:p>
        </w:tc>
        <w:tc>
          <w:tcPr>
            <w:tcW w:type="dxa" w:w="792"/>
            <w:vAlign w:val="top"/>
          </w:tcPr>
          <w:p>
            <w:pPr>
              <w:spacing w:after="20" w:line="240" w:lineRule="auto"/>
            </w:pPr>
            <w:r>
              <w:rPr>
                <w:rFonts w:ascii="Arial" w:hAnsi="Arial"/>
                <w:b w:val="0"/>
                <w:color w:val="595959"/>
                <w:sz w:val="15"/>
              </w:rPr>
              <w:t>0.78</w:t>
            </w:r>
          </w:p>
        </w:tc>
        <w:tc>
          <w:tcPr>
            <w:tcW w:type="dxa" w:w="2520"/>
            <w:vAlign w:val="top"/>
          </w:tcPr>
          <w:p>
            <w:pPr>
              <w:spacing w:after="20" w:line="240" w:lineRule="auto"/>
            </w:pPr>
            <w:r>
              <w:rPr>
                <w:rFonts w:ascii="Arial" w:hAnsi="Arial"/>
                <w:b w:val="0"/>
                <w:color w:val="595959"/>
                <w:sz w:val="15"/>
              </w:rPr>
              <w:t>pct_above_200d, market_breadth, sectors_green</w:t>
            </w:r>
          </w:p>
        </w:tc>
        <w:tc>
          <w:tcPr>
            <w:tcW w:type="dxa" w:w="2520"/>
            <w:vAlign w:val="top"/>
          </w:tcPr>
          <w:p>
            <w:pPr>
              <w:spacing w:after="20" w:line="240" w:lineRule="auto"/>
            </w:pPr>
            <w:r>
              <w:rPr>
                <w:rFonts w:ascii="Arial" w:hAnsi="Arial"/>
                <w:b w:val="0"/>
                <w:color w:val="595959"/>
                <w:sz w:val="15"/>
              </w:rPr>
              <w:t>adl_slope, pct_above_200d, rsp_vs_spy_z</w:t>
            </w:r>
          </w:p>
        </w:tc>
        <w:tc>
          <w:tcPr>
            <w:tcW w:type="dxa" w:w="2736"/>
            <w:vAlign w:val="top"/>
          </w:tcPr>
          <w:p>
            <w:pPr>
              <w:spacing w:after="20" w:line="240" w:lineRule="auto"/>
            </w:pPr>
            <w:r>
              <w:rPr>
                <w:rFonts w:ascii="Arial" w:hAnsi="Arial"/>
                <w:b w:val="0"/>
                <w:color w:val="595959"/>
                <w:sz w:val="15"/>
              </w:rPr>
              <w:t>Good coverage</w:t>
            </w:r>
          </w:p>
        </w:tc>
      </w:tr>
      <w:tr>
        <w:tc>
          <w:tcPr>
            <w:tcW w:type="dxa" w:w="1440"/>
            <w:shd w:fill="F7F9FC"/>
            <w:vAlign w:val="top"/>
          </w:tcPr>
          <w:p>
            <w:pPr>
              <w:spacing w:after="20" w:line="240" w:lineRule="auto"/>
            </w:pPr>
            <w:r>
              <w:rPr>
                <w:rFonts w:ascii="Arial" w:hAnsi="Arial"/>
                <w:b w:val="0"/>
                <w:color w:val="595959"/>
                <w:sz w:val="15"/>
              </w:rPr>
              <w:t>credit</w:t>
            </w:r>
          </w:p>
        </w:tc>
        <w:tc>
          <w:tcPr>
            <w:tcW w:type="dxa" w:w="864"/>
            <w:shd w:fill="F7F9FC"/>
            <w:vAlign w:val="top"/>
          </w:tcPr>
          <w:p>
            <w:pPr>
              <w:spacing w:after="20" w:line="240" w:lineRule="auto"/>
            </w:pPr>
            <w:r>
              <w:rPr>
                <w:rFonts w:ascii="Arial" w:hAnsi="Arial"/>
                <w:b w:val="0"/>
                <w:color w:val="595959"/>
                <w:sz w:val="15"/>
              </w:rPr>
              <w:t>73.07</w:t>
            </w:r>
          </w:p>
        </w:tc>
        <w:tc>
          <w:tcPr>
            <w:tcW w:type="dxa" w:w="792"/>
            <w:shd w:fill="F7F9FC"/>
            <w:vAlign w:val="top"/>
          </w:tcPr>
          <w:p>
            <w:pPr>
              <w:spacing w:after="20" w:line="240" w:lineRule="auto"/>
            </w:pPr>
            <w:r>
              <w:rPr>
                <w:rFonts w:ascii="Arial" w:hAnsi="Arial"/>
                <w:b w:val="0"/>
                <w:color w:val="595959"/>
                <w:sz w:val="15"/>
              </w:rPr>
              <w:t>177</w:t>
            </w:r>
          </w:p>
        </w:tc>
        <w:tc>
          <w:tcPr>
            <w:tcW w:type="dxa" w:w="936"/>
            <w:shd w:fill="F7F9FC"/>
            <w:vAlign w:val="top"/>
          </w:tcPr>
          <w:p>
            <w:pPr>
              <w:spacing w:after="20" w:line="240" w:lineRule="auto"/>
            </w:pPr>
            <w:r>
              <w:rPr>
                <w:rFonts w:ascii="Arial" w:hAnsi="Arial"/>
                <w:b w:val="0"/>
                <w:color w:val="595959"/>
                <w:sz w:val="15"/>
              </w:rPr>
              <w:t>173</w:t>
            </w:r>
          </w:p>
        </w:tc>
        <w:tc>
          <w:tcPr>
            <w:tcW w:type="dxa" w:w="792"/>
            <w:shd w:fill="F7F9FC"/>
            <w:vAlign w:val="top"/>
          </w:tcPr>
          <w:p>
            <w:pPr>
              <w:spacing w:after="20" w:line="240" w:lineRule="auto"/>
            </w:pPr>
            <w:r>
              <w:rPr>
                <w:rFonts w:ascii="Arial" w:hAnsi="Arial"/>
                <w:b w:val="0"/>
                <w:color w:val="595959"/>
                <w:sz w:val="15"/>
              </w:rPr>
              <w:t>0.51</w:t>
            </w:r>
          </w:p>
        </w:tc>
        <w:tc>
          <w:tcPr>
            <w:tcW w:type="dxa" w:w="2520"/>
            <w:shd w:fill="F7F9FC"/>
            <w:vAlign w:val="top"/>
          </w:tcPr>
          <w:p>
            <w:pPr>
              <w:spacing w:after="20" w:line="240" w:lineRule="auto"/>
            </w:pPr>
            <w:r>
              <w:rPr>
                <w:rFonts w:ascii="Arial" w:hAnsi="Arial"/>
                <w:b w:val="0"/>
                <w:color w:val="595959"/>
                <w:sz w:val="15"/>
              </w:rPr>
              <w:t>hy_spread_z, ig_spread_z, credit_conditions</w:t>
            </w:r>
          </w:p>
        </w:tc>
        <w:tc>
          <w:tcPr>
            <w:tcW w:type="dxa" w:w="2520"/>
            <w:shd w:fill="F7F9FC"/>
            <w:vAlign w:val="top"/>
          </w:tcPr>
          <w:p>
            <w:pPr>
              <w:spacing w:after="20" w:line="240" w:lineRule="auto"/>
            </w:pPr>
            <w:r>
              <w:rPr>
                <w:rFonts w:ascii="Arial" w:hAnsi="Arial"/>
                <w:b w:val="0"/>
                <w:color w:val="595959"/>
                <w:sz w:val="15"/>
              </w:rPr>
              <w:t>hy_spread_level, hy_spread_z, hy_spread_chg_4w</w:t>
            </w:r>
          </w:p>
        </w:tc>
        <w:tc>
          <w:tcPr>
            <w:tcW w:type="dxa" w:w="2736"/>
            <w:shd w:fill="F7F9FC"/>
            <w:vAlign w:val="top"/>
          </w:tcPr>
          <w:p>
            <w:pPr>
              <w:spacing w:after="20" w:line="240" w:lineRule="auto"/>
            </w:pPr>
            <w:r>
              <w:rPr>
                <w:rFonts w:ascii="Arial" w:hAnsi="Arial"/>
                <w:b w:val="0"/>
                <w:color w:val="595959"/>
                <w:sz w:val="15"/>
              </w:rPr>
              <w:t>Partial coverage</w:t>
            </w:r>
          </w:p>
        </w:tc>
      </w:tr>
      <w:tr>
        <w:tc>
          <w:tcPr>
            <w:tcW w:type="dxa" w:w="1440"/>
            <w:vAlign w:val="top"/>
          </w:tcPr>
          <w:p>
            <w:pPr>
              <w:spacing w:after="20" w:line="240" w:lineRule="auto"/>
            </w:pPr>
            <w:r>
              <w:rPr>
                <w:rFonts w:ascii="Arial" w:hAnsi="Arial"/>
                <w:b w:val="0"/>
                <w:color w:val="595959"/>
                <w:sz w:val="15"/>
              </w:rPr>
              <w:t>monetary_liquidity</w:t>
            </w:r>
          </w:p>
        </w:tc>
        <w:tc>
          <w:tcPr>
            <w:tcW w:type="dxa" w:w="864"/>
            <w:vAlign w:val="top"/>
          </w:tcPr>
          <w:p>
            <w:pPr>
              <w:spacing w:after="20" w:line="240" w:lineRule="auto"/>
            </w:pPr>
            <w:r>
              <w:rPr>
                <w:rFonts w:ascii="Arial" w:hAnsi="Arial"/>
                <w:b w:val="0"/>
                <w:color w:val="595959"/>
                <w:sz w:val="15"/>
              </w:rPr>
              <w:t>71.24</w:t>
            </w:r>
          </w:p>
        </w:tc>
        <w:tc>
          <w:tcPr>
            <w:tcW w:type="dxa" w:w="792"/>
            <w:vAlign w:val="top"/>
          </w:tcPr>
          <w:p>
            <w:pPr>
              <w:spacing w:after="20" w:line="240" w:lineRule="auto"/>
            </w:pPr>
            <w:r>
              <w:rPr>
                <w:rFonts w:ascii="Arial" w:hAnsi="Arial"/>
                <w:b w:val="0"/>
                <w:color w:val="595959"/>
                <w:sz w:val="15"/>
              </w:rPr>
              <w:t>191</w:t>
            </w:r>
          </w:p>
        </w:tc>
        <w:tc>
          <w:tcPr>
            <w:tcW w:type="dxa" w:w="936"/>
            <w:vAlign w:val="top"/>
          </w:tcPr>
          <w:p>
            <w:pPr>
              <w:spacing w:after="20" w:line="240" w:lineRule="auto"/>
            </w:pPr>
            <w:r>
              <w:rPr>
                <w:rFonts w:ascii="Arial" w:hAnsi="Arial"/>
                <w:b w:val="0"/>
                <w:color w:val="595959"/>
                <w:sz w:val="15"/>
              </w:rPr>
              <w:t>109</w:t>
            </w:r>
          </w:p>
        </w:tc>
        <w:tc>
          <w:tcPr>
            <w:tcW w:type="dxa" w:w="792"/>
            <w:vAlign w:val="top"/>
          </w:tcPr>
          <w:p>
            <w:pPr>
              <w:spacing w:after="20" w:line="240" w:lineRule="auto"/>
            </w:pPr>
            <w:r>
              <w:rPr>
                <w:rFonts w:ascii="Arial" w:hAnsi="Arial"/>
                <w:b w:val="0"/>
                <w:color w:val="595959"/>
                <w:sz w:val="15"/>
              </w:rPr>
              <w:t>0.64</w:t>
            </w:r>
          </w:p>
        </w:tc>
        <w:tc>
          <w:tcPr>
            <w:tcW w:type="dxa" w:w="2520"/>
            <w:vAlign w:val="top"/>
          </w:tcPr>
          <w:p>
            <w:pPr>
              <w:spacing w:after="20" w:line="240" w:lineRule="auto"/>
            </w:pPr>
            <w:r>
              <w:rPr>
                <w:rFonts w:ascii="Arial" w:hAnsi="Arial"/>
                <w:b w:val="0"/>
                <w:color w:val="595959"/>
                <w:sz w:val="15"/>
              </w:rPr>
              <w:t>monetary_conditions, nfci_inverted, net_liquidity_z</w:t>
            </w:r>
          </w:p>
        </w:tc>
        <w:tc>
          <w:tcPr>
            <w:tcW w:type="dxa" w:w="2520"/>
            <w:vAlign w:val="top"/>
          </w:tcPr>
          <w:p>
            <w:pPr>
              <w:spacing w:after="20" w:line="240" w:lineRule="auto"/>
            </w:pPr>
            <w:r>
              <w:rPr>
                <w:rFonts w:ascii="Arial" w:hAnsi="Arial"/>
                <w:b w:val="0"/>
                <w:color w:val="595959"/>
                <w:sz w:val="15"/>
              </w:rPr>
              <w:t>net_liquidity, nfci, net_liquidity_z</w:t>
            </w:r>
          </w:p>
        </w:tc>
        <w:tc>
          <w:tcPr>
            <w:tcW w:type="dxa" w:w="2736"/>
            <w:vAlign w:val="top"/>
          </w:tcPr>
          <w:p>
            <w:pPr>
              <w:spacing w:after="20" w:line="240" w:lineRule="auto"/>
            </w:pPr>
            <w:r>
              <w:rPr>
                <w:rFonts w:ascii="Arial" w:hAnsi="Arial"/>
                <w:b w:val="0"/>
                <w:color w:val="595959"/>
                <w:sz w:val="15"/>
              </w:rPr>
              <w:t>Partial coverage</w:t>
            </w:r>
          </w:p>
        </w:tc>
      </w:tr>
      <w:tr>
        <w:tc>
          <w:tcPr>
            <w:tcW w:type="dxa" w:w="1440"/>
            <w:shd w:fill="F7F9FC"/>
            <w:vAlign w:val="top"/>
          </w:tcPr>
          <w:p>
            <w:pPr>
              <w:spacing w:after="20" w:line="240" w:lineRule="auto"/>
            </w:pPr>
            <w:r>
              <w:rPr>
                <w:rFonts w:ascii="Arial" w:hAnsi="Arial"/>
                <w:b w:val="0"/>
                <w:color w:val="595959"/>
                <w:sz w:val="15"/>
              </w:rPr>
              <w:t>positioning</w:t>
            </w:r>
          </w:p>
        </w:tc>
        <w:tc>
          <w:tcPr>
            <w:tcW w:type="dxa" w:w="864"/>
            <w:shd w:fill="F7F9FC"/>
            <w:vAlign w:val="top"/>
          </w:tcPr>
          <w:p>
            <w:pPr>
              <w:spacing w:after="20" w:line="240" w:lineRule="auto"/>
            </w:pPr>
            <w:r>
              <w:rPr>
                <w:rFonts w:ascii="Arial" w:hAnsi="Arial"/>
                <w:b w:val="0"/>
                <w:color w:val="595959"/>
                <w:sz w:val="15"/>
              </w:rPr>
              <w:t>35.22</w:t>
            </w:r>
          </w:p>
        </w:tc>
        <w:tc>
          <w:tcPr>
            <w:tcW w:type="dxa" w:w="792"/>
            <w:shd w:fill="F7F9FC"/>
            <w:vAlign w:val="top"/>
          </w:tcPr>
          <w:p>
            <w:pPr>
              <w:spacing w:after="20" w:line="240" w:lineRule="auto"/>
            </w:pPr>
            <w:r>
              <w:rPr>
                <w:rFonts w:ascii="Arial" w:hAnsi="Arial"/>
                <w:b w:val="0"/>
                <w:color w:val="595959"/>
                <w:sz w:val="15"/>
              </w:rPr>
              <w:t>97</w:t>
            </w:r>
          </w:p>
        </w:tc>
        <w:tc>
          <w:tcPr>
            <w:tcW w:type="dxa" w:w="936"/>
            <w:shd w:fill="F7F9FC"/>
            <w:vAlign w:val="top"/>
          </w:tcPr>
          <w:p>
            <w:pPr>
              <w:spacing w:after="20" w:line="240" w:lineRule="auto"/>
            </w:pPr>
            <w:r>
              <w:rPr>
                <w:rFonts w:ascii="Arial" w:hAnsi="Arial"/>
                <w:b w:val="0"/>
                <w:color w:val="595959"/>
                <w:sz w:val="15"/>
              </w:rPr>
              <w:t>3</w:t>
            </w:r>
          </w:p>
        </w:tc>
        <w:tc>
          <w:tcPr>
            <w:tcW w:type="dxa" w:w="792"/>
            <w:shd w:fill="F7F9FC"/>
            <w:vAlign w:val="top"/>
          </w:tcPr>
          <w:p>
            <w:pPr>
              <w:spacing w:after="20" w:line="240" w:lineRule="auto"/>
            </w:pPr>
            <w:r>
              <w:rPr>
                <w:rFonts w:ascii="Arial" w:hAnsi="Arial"/>
                <w:b w:val="0"/>
                <w:color w:val="595959"/>
                <w:sz w:val="15"/>
              </w:rPr>
              <w:t>0.97</w:t>
            </w:r>
          </w:p>
        </w:tc>
        <w:tc>
          <w:tcPr>
            <w:tcW w:type="dxa" w:w="2520"/>
            <w:shd w:fill="F7F9FC"/>
            <w:vAlign w:val="top"/>
          </w:tcPr>
          <w:p>
            <w:pPr>
              <w:spacing w:after="20" w:line="240" w:lineRule="auto"/>
            </w:pPr>
            <w:r>
              <w:rPr>
                <w:rFonts w:ascii="Arial" w:hAnsi="Arial"/>
                <w:b w:val="0"/>
                <w:color w:val="595959"/>
                <w:sz w:val="15"/>
              </w:rPr>
              <w:t>cot_net_large_spec_z, positioning_hedging</w:t>
            </w:r>
          </w:p>
        </w:tc>
        <w:tc>
          <w:tcPr>
            <w:tcW w:type="dxa" w:w="2520"/>
            <w:shd w:fill="F7F9FC"/>
            <w:vAlign w:val="top"/>
          </w:tcPr>
          <w:p>
            <w:pPr>
              <w:spacing w:after="20" w:line="240" w:lineRule="auto"/>
            </w:pPr>
            <w:r>
              <w:rPr>
                <w:rFonts w:ascii="Arial" w:hAnsi="Arial"/>
                <w:b w:val="0"/>
                <w:color w:val="595959"/>
                <w:sz w:val="15"/>
              </w:rPr>
              <w:t>cot_net_large_spec_z</w:t>
            </w:r>
          </w:p>
        </w:tc>
        <w:tc>
          <w:tcPr>
            <w:tcW w:type="dxa" w:w="2736"/>
            <w:shd w:fill="F7F9FC"/>
            <w:vAlign w:val="top"/>
          </w:tcPr>
          <w:p>
            <w:pPr>
              <w:spacing w:after="20" w:line="240" w:lineRule="auto"/>
            </w:pPr>
            <w:r>
              <w:rPr>
                <w:rFonts w:ascii="Arial" w:hAnsi="Arial"/>
                <w:b w:val="0"/>
                <w:color w:val="595959"/>
                <w:sz w:val="15"/>
              </w:rPr>
              <w:t>Good coverage</w:t>
            </w:r>
          </w:p>
        </w:tc>
      </w:tr>
      <w:tr>
        <w:tc>
          <w:tcPr>
            <w:tcW w:type="dxa" w:w="1440"/>
            <w:vAlign w:val="top"/>
          </w:tcPr>
          <w:p>
            <w:pPr>
              <w:spacing w:after="20" w:line="240" w:lineRule="auto"/>
            </w:pPr>
            <w:r>
              <w:rPr>
                <w:rFonts w:ascii="Arial" w:hAnsi="Arial"/>
                <w:b w:val="0"/>
                <w:color w:val="595959"/>
                <w:sz w:val="15"/>
              </w:rPr>
              <w:t>volatility</w:t>
            </w:r>
          </w:p>
        </w:tc>
        <w:tc>
          <w:tcPr>
            <w:tcW w:type="dxa" w:w="864"/>
            <w:vAlign w:val="top"/>
          </w:tcPr>
          <w:p>
            <w:pPr>
              <w:spacing w:after="20" w:line="240" w:lineRule="auto"/>
            </w:pPr>
            <w:r>
              <w:rPr>
                <w:rFonts w:ascii="Arial" w:hAnsi="Arial"/>
                <w:b w:val="0"/>
                <w:color w:val="595959"/>
                <w:sz w:val="15"/>
              </w:rPr>
              <w:t>36.75</w:t>
            </w:r>
          </w:p>
        </w:tc>
        <w:tc>
          <w:tcPr>
            <w:tcW w:type="dxa" w:w="792"/>
            <w:vAlign w:val="top"/>
          </w:tcPr>
          <w:p>
            <w:pPr>
              <w:spacing w:after="20" w:line="240" w:lineRule="auto"/>
            </w:pPr>
            <w:r>
              <w:rPr>
                <w:rFonts w:ascii="Arial" w:hAnsi="Arial"/>
                <w:b w:val="0"/>
                <w:color w:val="595959"/>
                <w:sz w:val="15"/>
              </w:rPr>
              <w:t>296</w:t>
            </w:r>
          </w:p>
        </w:tc>
        <w:tc>
          <w:tcPr>
            <w:tcW w:type="dxa" w:w="936"/>
            <w:vAlign w:val="top"/>
          </w:tcPr>
          <w:p>
            <w:pPr>
              <w:spacing w:after="20" w:line="240" w:lineRule="auto"/>
            </w:pPr>
            <w:r>
              <w:rPr>
                <w:rFonts w:ascii="Arial" w:hAnsi="Arial"/>
                <w:b w:val="0"/>
                <w:color w:val="595959"/>
                <w:sz w:val="15"/>
              </w:rPr>
              <w:t>54</w:t>
            </w:r>
          </w:p>
        </w:tc>
        <w:tc>
          <w:tcPr>
            <w:tcW w:type="dxa" w:w="792"/>
            <w:vAlign w:val="top"/>
          </w:tcPr>
          <w:p>
            <w:pPr>
              <w:spacing w:after="20" w:line="240" w:lineRule="auto"/>
            </w:pPr>
            <w:r>
              <w:rPr>
                <w:rFonts w:ascii="Arial" w:hAnsi="Arial"/>
                <w:b w:val="0"/>
                <w:color w:val="595959"/>
                <w:sz w:val="15"/>
              </w:rPr>
              <w:t>0.85</w:t>
            </w:r>
          </w:p>
        </w:tc>
        <w:tc>
          <w:tcPr>
            <w:tcW w:type="dxa" w:w="2520"/>
            <w:vAlign w:val="top"/>
          </w:tcPr>
          <w:p>
            <w:pPr>
              <w:spacing w:after="20" w:line="240" w:lineRule="auto"/>
            </w:pPr>
            <w:r>
              <w:rPr>
                <w:rFonts w:ascii="Arial" w:hAnsi="Arial"/>
                <w:b w:val="0"/>
                <w:color w:val="595959"/>
                <w:sz w:val="15"/>
              </w:rPr>
              <w:t>vvix_z, vvix_level, vix_z_20d</w:t>
            </w:r>
          </w:p>
        </w:tc>
        <w:tc>
          <w:tcPr>
            <w:tcW w:type="dxa" w:w="2520"/>
            <w:vAlign w:val="top"/>
          </w:tcPr>
          <w:p>
            <w:pPr>
              <w:spacing w:after="20" w:line="240" w:lineRule="auto"/>
            </w:pPr>
            <w:r>
              <w:rPr>
                <w:rFonts w:ascii="Arial" w:hAnsi="Arial"/>
                <w:b w:val="0"/>
                <w:color w:val="595959"/>
                <w:sz w:val="15"/>
              </w:rPr>
              <w:t>skew_index, vvix_z, vix_z_20d</w:t>
            </w:r>
          </w:p>
        </w:tc>
        <w:tc>
          <w:tcPr>
            <w:tcW w:type="dxa" w:w="2736"/>
            <w:vAlign w:val="top"/>
          </w:tcPr>
          <w:p>
            <w:pPr>
              <w:spacing w:after="20" w:line="240" w:lineRule="auto"/>
            </w:pPr>
            <w:r>
              <w:rPr>
                <w:rFonts w:ascii="Arial" w:hAnsi="Arial"/>
                <w:b w:val="0"/>
                <w:color w:val="595959"/>
                <w:sz w:val="15"/>
              </w:rPr>
              <w:t>Good coverage</w:t>
            </w:r>
          </w:p>
        </w:tc>
      </w:tr>
    </w:tbl>
    <w:p>
      <w:pPr>
        <w:spacing w:after="120"/>
      </w:pPr>
    </w:p>
    <w:p>
      <w:pPr>
        <w:spacing w:before="180" w:after="80"/>
      </w:pPr>
      <w:r>
        <w:rPr>
          <w:rFonts w:ascii="Arial" w:hAnsi="Arial"/>
          <w:b/>
          <w:color w:val="2E75B6"/>
          <w:sz w:val="21"/>
        </w:rPr>
        <w:t>Historical Macro Forward Return Stats</w:t>
      </w:r>
    </w:p>
    <w:tbl>
      <w:tblPr>
        <w:tblStyle w:val="TableGrid"/>
        <w:tblW w:type="auto" w:w="0"/>
        <w:jc w:val="center"/>
        <w:tblLayout w:type="fixed"/>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tblGrid>
      <w:tr>
        <w:trPr>
          <w:tblHeader w:val="true"/>
        </w:trPr>
        <w:tc>
          <w:tcPr>
            <w:tcW w:type="dxa" w:w="1152"/>
            <w:shd w:fill="1F4E79"/>
            <w:vAlign w:val="top"/>
          </w:tcPr>
          <w:p>
            <w:pPr>
              <w:spacing w:after="20" w:line="240" w:lineRule="auto"/>
            </w:pPr>
            <w:r>
              <w:rPr>
                <w:rFonts w:ascii="Arial" w:hAnsi="Arial"/>
                <w:b/>
                <w:color w:val="FFFFFF"/>
                <w:sz w:val="15"/>
              </w:rPr>
              <w:t>Horizon</w:t>
            </w:r>
          </w:p>
        </w:tc>
        <w:tc>
          <w:tcPr>
            <w:tcW w:type="dxa" w:w="504"/>
            <w:shd w:fill="1F4E79"/>
            <w:vAlign w:val="top"/>
          </w:tcPr>
          <w:p>
            <w:pPr>
              <w:spacing w:after="20" w:line="240" w:lineRule="auto"/>
            </w:pPr>
            <w:r>
              <w:rPr>
                <w:rFonts w:ascii="Arial" w:hAnsi="Arial"/>
                <w:b/>
                <w:color w:val="FFFFFF"/>
                <w:sz w:val="15"/>
              </w:rPr>
              <w:t>N</w:t>
            </w:r>
          </w:p>
        </w:tc>
        <w:tc>
          <w:tcPr>
            <w:tcW w:type="dxa" w:w="792"/>
            <w:shd w:fill="1F4E79"/>
            <w:vAlign w:val="top"/>
          </w:tcPr>
          <w:p>
            <w:pPr>
              <w:spacing w:after="20" w:line="240" w:lineRule="auto"/>
            </w:pPr>
            <w:r>
              <w:rPr>
                <w:rFonts w:ascii="Arial" w:hAnsi="Arial"/>
                <w:b/>
                <w:color w:val="FFFFFF"/>
                <w:sz w:val="15"/>
              </w:rPr>
              <w:t>Weight Sum</w:t>
            </w:r>
          </w:p>
        </w:tc>
        <w:tc>
          <w:tcPr>
            <w:tcW w:type="dxa" w:w="720"/>
            <w:shd w:fill="1F4E79"/>
            <w:vAlign w:val="top"/>
          </w:tcPr>
          <w:p>
            <w:pPr>
              <w:spacing w:after="20" w:line="240" w:lineRule="auto"/>
            </w:pPr>
            <w:r>
              <w:rPr>
                <w:rFonts w:ascii="Arial" w:hAnsi="Arial"/>
                <w:b/>
                <w:color w:val="FFFFFF"/>
                <w:sz w:val="15"/>
              </w:rPr>
              <w:t>Median</w:t>
            </w:r>
          </w:p>
        </w:tc>
        <w:tc>
          <w:tcPr>
            <w:tcW w:type="dxa" w:w="720"/>
            <w:shd w:fill="1F4E79"/>
            <w:vAlign w:val="top"/>
          </w:tcPr>
          <w:p>
            <w:pPr>
              <w:spacing w:after="20" w:line="240" w:lineRule="auto"/>
            </w:pPr>
            <w:r>
              <w:rPr>
                <w:rFonts w:ascii="Arial" w:hAnsi="Arial"/>
                <w:b/>
                <w:color w:val="FFFFFF"/>
                <w:sz w:val="15"/>
              </w:rPr>
              <w:t>Mean</w:t>
            </w:r>
          </w:p>
        </w:tc>
        <w:tc>
          <w:tcPr>
            <w:tcW w:type="dxa" w:w="864"/>
            <w:shd w:fill="1F4E79"/>
            <w:vAlign w:val="top"/>
          </w:tcPr>
          <w:p>
            <w:pPr>
              <w:spacing w:after="20" w:line="240" w:lineRule="auto"/>
            </w:pPr>
            <w:r>
              <w:rPr>
                <w:rFonts w:ascii="Arial" w:hAnsi="Arial"/>
                <w:b/>
                <w:color w:val="FFFFFF"/>
                <w:sz w:val="15"/>
              </w:rPr>
              <w:t>% Positive</w:t>
            </w:r>
          </w:p>
        </w:tc>
        <w:tc>
          <w:tcPr>
            <w:tcW w:type="dxa" w:w="648"/>
            <w:shd w:fill="1F4E79"/>
            <w:vAlign w:val="top"/>
          </w:tcPr>
          <w:p>
            <w:pPr>
              <w:spacing w:after="20" w:line="240" w:lineRule="auto"/>
            </w:pPr>
            <w:r>
              <w:rPr>
                <w:rFonts w:ascii="Arial" w:hAnsi="Arial"/>
                <w:b/>
                <w:color w:val="FFFFFF"/>
                <w:sz w:val="15"/>
              </w:rPr>
              <w:t>P10</w:t>
            </w:r>
          </w:p>
        </w:tc>
        <w:tc>
          <w:tcPr>
            <w:tcW w:type="dxa" w:w="648"/>
            <w:shd w:fill="1F4E79"/>
            <w:vAlign w:val="top"/>
          </w:tcPr>
          <w:p>
            <w:pPr>
              <w:spacing w:after="20" w:line="240" w:lineRule="auto"/>
            </w:pPr>
            <w:r>
              <w:rPr>
                <w:rFonts w:ascii="Arial" w:hAnsi="Arial"/>
                <w:b/>
                <w:color w:val="FFFFFF"/>
                <w:sz w:val="15"/>
              </w:rPr>
              <w:t>P25</w:t>
            </w:r>
          </w:p>
        </w:tc>
        <w:tc>
          <w:tcPr>
            <w:tcW w:type="dxa" w:w="648"/>
            <w:shd w:fill="1F4E79"/>
            <w:vAlign w:val="top"/>
          </w:tcPr>
          <w:p>
            <w:pPr>
              <w:spacing w:after="20" w:line="240" w:lineRule="auto"/>
            </w:pPr>
            <w:r>
              <w:rPr>
                <w:rFonts w:ascii="Arial" w:hAnsi="Arial"/>
                <w:b/>
                <w:color w:val="FFFFFF"/>
                <w:sz w:val="15"/>
              </w:rPr>
              <w:t>P75</w:t>
            </w:r>
          </w:p>
        </w:tc>
        <w:tc>
          <w:tcPr>
            <w:tcW w:type="dxa" w:w="648"/>
            <w:shd w:fill="1F4E79"/>
            <w:vAlign w:val="top"/>
          </w:tcPr>
          <w:p>
            <w:pPr>
              <w:spacing w:after="20" w:line="240" w:lineRule="auto"/>
            </w:pPr>
            <w:r>
              <w:rPr>
                <w:rFonts w:ascii="Arial" w:hAnsi="Arial"/>
                <w:b/>
                <w:color w:val="FFFFFF"/>
                <w:sz w:val="15"/>
              </w:rPr>
              <w:t>P90</w:t>
            </w:r>
          </w:p>
        </w:tc>
        <w:tc>
          <w:tcPr>
            <w:tcW w:type="dxa" w:w="720"/>
            <w:shd w:fill="1F4E79"/>
            <w:vAlign w:val="top"/>
          </w:tcPr>
          <w:p>
            <w:pPr>
              <w:spacing w:after="20" w:line="240" w:lineRule="auto"/>
            </w:pPr>
            <w:r>
              <w:rPr>
                <w:rFonts w:ascii="Arial" w:hAnsi="Arial"/>
                <w:b/>
                <w:color w:val="FFFFFF"/>
                <w:sz w:val="15"/>
              </w:rPr>
              <w:t>Worst</w:t>
            </w:r>
          </w:p>
        </w:tc>
        <w:tc>
          <w:tcPr>
            <w:tcW w:type="dxa" w:w="720"/>
            <w:shd w:fill="1F4E79"/>
            <w:vAlign w:val="top"/>
          </w:tcPr>
          <w:p>
            <w:pPr>
              <w:spacing w:after="20" w:line="240" w:lineRule="auto"/>
            </w:pPr>
            <w:r>
              <w:rPr>
                <w:rFonts w:ascii="Arial" w:hAnsi="Arial"/>
                <w:b/>
                <w:color w:val="FFFFFF"/>
                <w:sz w:val="15"/>
              </w:rPr>
              <w:t>Best</w:t>
            </w:r>
          </w:p>
        </w:tc>
      </w:tr>
      <w:tr>
        <w:tc>
          <w:tcPr>
            <w:tcW w:type="dxa" w:w="1152"/>
            <w:vAlign w:val="top"/>
          </w:tcPr>
          <w:p>
            <w:pPr>
              <w:spacing w:after="20" w:line="240" w:lineRule="auto"/>
            </w:pPr>
            <w:r>
              <w:rPr>
                <w:rFonts w:ascii="Arial" w:hAnsi="Arial"/>
                <w:b w:val="0"/>
                <w:color w:val="595959"/>
                <w:sz w:val="15"/>
              </w:rPr>
              <w:t>1M / 21D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104.92</w:t>
            </w:r>
          </w:p>
        </w:tc>
        <w:tc>
          <w:tcPr>
            <w:tcW w:type="dxa" w:w="720"/>
            <w:vAlign w:val="top"/>
          </w:tcPr>
          <w:p>
            <w:pPr>
              <w:spacing w:after="20" w:line="240" w:lineRule="auto"/>
            </w:pPr>
            <w:r>
              <w:rPr>
                <w:rFonts w:ascii="Arial" w:hAnsi="Arial"/>
                <w:b w:val="0"/>
                <w:color w:val="375623"/>
                <w:sz w:val="15"/>
              </w:rPr>
              <w:t>+0.94</w:t>
            </w:r>
          </w:p>
        </w:tc>
        <w:tc>
          <w:tcPr>
            <w:tcW w:type="dxa" w:w="720"/>
            <w:vAlign w:val="top"/>
          </w:tcPr>
          <w:p>
            <w:pPr>
              <w:spacing w:after="20" w:line="240" w:lineRule="auto"/>
            </w:pPr>
            <w:r>
              <w:rPr>
                <w:rFonts w:ascii="Arial" w:hAnsi="Arial"/>
                <w:b w:val="0"/>
                <w:color w:val="375623"/>
                <w:sz w:val="15"/>
              </w:rPr>
              <w:t>+0.30</w:t>
            </w:r>
          </w:p>
        </w:tc>
        <w:tc>
          <w:tcPr>
            <w:tcW w:type="dxa" w:w="864"/>
            <w:vAlign w:val="top"/>
          </w:tcPr>
          <w:p>
            <w:pPr>
              <w:spacing w:after="20" w:line="240" w:lineRule="auto"/>
            </w:pPr>
            <w:r>
              <w:rPr>
                <w:rFonts w:ascii="Arial" w:hAnsi="Arial"/>
                <w:b w:val="0"/>
                <w:color w:val="595959"/>
                <w:sz w:val="15"/>
              </w:rPr>
              <w:t>63.00</w:t>
            </w:r>
          </w:p>
        </w:tc>
        <w:tc>
          <w:tcPr>
            <w:tcW w:type="dxa" w:w="648"/>
            <w:vAlign w:val="top"/>
          </w:tcPr>
          <w:p>
            <w:pPr>
              <w:spacing w:after="20" w:line="240" w:lineRule="auto"/>
            </w:pPr>
            <w:r>
              <w:rPr>
                <w:rFonts w:ascii="Arial" w:hAnsi="Arial"/>
                <w:b w:val="0"/>
                <w:color w:val="C00000"/>
                <w:sz w:val="15"/>
              </w:rPr>
              <w:t>-4.49</w:t>
            </w:r>
          </w:p>
        </w:tc>
        <w:tc>
          <w:tcPr>
            <w:tcW w:type="dxa" w:w="648"/>
            <w:vAlign w:val="top"/>
          </w:tcPr>
          <w:p>
            <w:pPr>
              <w:spacing w:after="20" w:line="240" w:lineRule="auto"/>
            </w:pPr>
            <w:r>
              <w:rPr>
                <w:rFonts w:ascii="Arial" w:hAnsi="Arial"/>
                <w:b w:val="0"/>
                <w:color w:val="C00000"/>
                <w:sz w:val="15"/>
              </w:rPr>
              <w:t>-1.24</w:t>
            </w:r>
          </w:p>
        </w:tc>
        <w:tc>
          <w:tcPr>
            <w:tcW w:type="dxa" w:w="648"/>
            <w:vAlign w:val="top"/>
          </w:tcPr>
          <w:p>
            <w:pPr>
              <w:spacing w:after="20" w:line="240" w:lineRule="auto"/>
            </w:pPr>
            <w:r>
              <w:rPr>
                <w:rFonts w:ascii="Arial" w:hAnsi="Arial"/>
                <w:b w:val="0"/>
                <w:color w:val="375623"/>
                <w:sz w:val="15"/>
              </w:rPr>
              <w:t>+2.38</w:t>
            </w:r>
          </w:p>
        </w:tc>
        <w:tc>
          <w:tcPr>
            <w:tcW w:type="dxa" w:w="648"/>
            <w:vAlign w:val="top"/>
          </w:tcPr>
          <w:p>
            <w:pPr>
              <w:spacing w:after="20" w:line="240" w:lineRule="auto"/>
            </w:pPr>
            <w:r>
              <w:rPr>
                <w:rFonts w:ascii="Arial" w:hAnsi="Arial"/>
                <w:b w:val="0"/>
                <w:color w:val="375623"/>
                <w:sz w:val="15"/>
              </w:rPr>
              <w:t>+4.49</w:t>
            </w:r>
          </w:p>
        </w:tc>
        <w:tc>
          <w:tcPr>
            <w:tcW w:type="dxa" w:w="720"/>
            <w:vAlign w:val="top"/>
          </w:tcPr>
          <w:p>
            <w:pPr>
              <w:spacing w:after="20" w:line="240" w:lineRule="auto"/>
            </w:pPr>
            <w:r>
              <w:rPr>
                <w:rFonts w:ascii="Arial" w:hAnsi="Arial"/>
                <w:b w:val="0"/>
                <w:color w:val="C00000"/>
                <w:sz w:val="15"/>
              </w:rPr>
              <w:t>-9.24</w:t>
            </w:r>
          </w:p>
        </w:tc>
        <w:tc>
          <w:tcPr>
            <w:tcW w:type="dxa" w:w="720"/>
            <w:vAlign w:val="top"/>
          </w:tcPr>
          <w:p>
            <w:pPr>
              <w:spacing w:after="20" w:line="240" w:lineRule="auto"/>
            </w:pPr>
            <w:r>
              <w:rPr>
                <w:rFonts w:ascii="Arial" w:hAnsi="Arial"/>
                <w:b w:val="0"/>
                <w:color w:val="375623"/>
                <w:sz w:val="15"/>
              </w:rPr>
              <w:t>+7.47</w:t>
            </w:r>
          </w:p>
        </w:tc>
      </w:tr>
      <w:tr>
        <w:tc>
          <w:tcPr>
            <w:tcW w:type="dxa" w:w="1152"/>
            <w:shd w:fill="F7F9FC"/>
            <w:vAlign w:val="top"/>
          </w:tcPr>
          <w:p>
            <w:pPr>
              <w:spacing w:after="20" w:line="240" w:lineRule="auto"/>
            </w:pPr>
            <w:r>
              <w:rPr>
                <w:rFonts w:ascii="Arial" w:hAnsi="Arial"/>
                <w:b w:val="0"/>
                <w:color w:val="595959"/>
                <w:sz w:val="15"/>
              </w:rPr>
              <w:t>3M / 63D</w:t>
            </w:r>
          </w:p>
        </w:tc>
        <w:tc>
          <w:tcPr>
            <w:tcW w:type="dxa" w:w="504"/>
            <w:shd w:fill="F7F9FC"/>
            <w:vAlign w:val="top"/>
          </w:tcPr>
          <w:p>
            <w:pPr>
              <w:spacing w:after="20" w:line="240" w:lineRule="auto"/>
            </w:pPr>
            <w:r>
              <w:rPr>
                <w:rFonts w:ascii="Arial" w:hAnsi="Arial"/>
                <w:b w:val="0"/>
                <w:color w:val="595959"/>
                <w:sz w:val="15"/>
              </w:rPr>
              <w:t>45</w:t>
            </w:r>
          </w:p>
        </w:tc>
        <w:tc>
          <w:tcPr>
            <w:tcW w:type="dxa" w:w="792"/>
            <w:shd w:fill="F7F9FC"/>
            <w:vAlign w:val="top"/>
          </w:tcPr>
          <w:p>
            <w:pPr>
              <w:spacing w:after="20" w:line="240" w:lineRule="auto"/>
            </w:pPr>
            <w:r>
              <w:rPr>
                <w:rFonts w:ascii="Arial" w:hAnsi="Arial"/>
                <w:b w:val="0"/>
                <w:color w:val="595959"/>
                <w:sz w:val="15"/>
              </w:rPr>
              <w:t>93.77</w:t>
            </w:r>
          </w:p>
        </w:tc>
        <w:tc>
          <w:tcPr>
            <w:tcW w:type="dxa" w:w="720"/>
            <w:shd w:fill="F7F9FC"/>
            <w:vAlign w:val="top"/>
          </w:tcPr>
          <w:p>
            <w:pPr>
              <w:spacing w:after="20" w:line="240" w:lineRule="auto"/>
            </w:pPr>
            <w:r>
              <w:rPr>
                <w:rFonts w:ascii="Arial" w:hAnsi="Arial"/>
                <w:b w:val="0"/>
                <w:color w:val="375623"/>
                <w:sz w:val="15"/>
              </w:rPr>
              <w:t>+3.20</w:t>
            </w:r>
          </w:p>
        </w:tc>
        <w:tc>
          <w:tcPr>
            <w:tcW w:type="dxa" w:w="720"/>
            <w:shd w:fill="F7F9FC"/>
            <w:vAlign w:val="top"/>
          </w:tcPr>
          <w:p>
            <w:pPr>
              <w:spacing w:after="20" w:line="240" w:lineRule="auto"/>
            </w:pPr>
            <w:r>
              <w:rPr>
                <w:rFonts w:ascii="Arial" w:hAnsi="Arial"/>
                <w:b w:val="0"/>
                <w:color w:val="375623"/>
                <w:sz w:val="15"/>
              </w:rPr>
              <w:t>+0.45</w:t>
            </w:r>
          </w:p>
        </w:tc>
        <w:tc>
          <w:tcPr>
            <w:tcW w:type="dxa" w:w="864"/>
            <w:shd w:fill="F7F9FC"/>
            <w:vAlign w:val="top"/>
          </w:tcPr>
          <w:p>
            <w:pPr>
              <w:spacing w:after="20" w:line="240" w:lineRule="auto"/>
            </w:pPr>
            <w:r>
              <w:rPr>
                <w:rFonts w:ascii="Arial" w:hAnsi="Arial"/>
                <w:b w:val="0"/>
                <w:color w:val="595959"/>
                <w:sz w:val="15"/>
              </w:rPr>
              <w:t>66.00</w:t>
            </w:r>
          </w:p>
        </w:tc>
        <w:tc>
          <w:tcPr>
            <w:tcW w:type="dxa" w:w="648"/>
            <w:shd w:fill="F7F9FC"/>
            <w:vAlign w:val="top"/>
          </w:tcPr>
          <w:p>
            <w:pPr>
              <w:spacing w:after="20" w:line="240" w:lineRule="auto"/>
            </w:pPr>
            <w:r>
              <w:rPr>
                <w:rFonts w:ascii="Arial" w:hAnsi="Arial"/>
                <w:b w:val="0"/>
                <w:color w:val="C00000"/>
                <w:sz w:val="15"/>
              </w:rPr>
              <w:t>-11.61</w:t>
            </w:r>
          </w:p>
        </w:tc>
        <w:tc>
          <w:tcPr>
            <w:tcW w:type="dxa" w:w="648"/>
            <w:shd w:fill="F7F9FC"/>
            <w:vAlign w:val="top"/>
          </w:tcPr>
          <w:p>
            <w:pPr>
              <w:spacing w:after="20" w:line="240" w:lineRule="auto"/>
            </w:pPr>
            <w:r>
              <w:rPr>
                <w:rFonts w:ascii="Arial" w:hAnsi="Arial"/>
                <w:b w:val="0"/>
                <w:color w:val="C00000"/>
                <w:sz w:val="15"/>
              </w:rPr>
              <w:t>-6.10</w:t>
            </w:r>
          </w:p>
        </w:tc>
        <w:tc>
          <w:tcPr>
            <w:tcW w:type="dxa" w:w="648"/>
            <w:shd w:fill="F7F9FC"/>
            <w:vAlign w:val="top"/>
          </w:tcPr>
          <w:p>
            <w:pPr>
              <w:spacing w:after="20" w:line="240" w:lineRule="auto"/>
            </w:pPr>
            <w:r>
              <w:rPr>
                <w:rFonts w:ascii="Arial" w:hAnsi="Arial"/>
                <w:b w:val="0"/>
                <w:color w:val="375623"/>
                <w:sz w:val="15"/>
              </w:rPr>
              <w:t>+4.93</w:t>
            </w:r>
          </w:p>
        </w:tc>
        <w:tc>
          <w:tcPr>
            <w:tcW w:type="dxa" w:w="648"/>
            <w:shd w:fill="F7F9FC"/>
            <w:vAlign w:val="top"/>
          </w:tcPr>
          <w:p>
            <w:pPr>
              <w:spacing w:after="20" w:line="240" w:lineRule="auto"/>
            </w:pPr>
            <w:r>
              <w:rPr>
                <w:rFonts w:ascii="Arial" w:hAnsi="Arial"/>
                <w:b w:val="0"/>
                <w:color w:val="375623"/>
                <w:sz w:val="15"/>
              </w:rPr>
              <w:t>+7.32</w:t>
            </w:r>
          </w:p>
        </w:tc>
        <w:tc>
          <w:tcPr>
            <w:tcW w:type="dxa" w:w="720"/>
            <w:shd w:fill="F7F9FC"/>
            <w:vAlign w:val="top"/>
          </w:tcPr>
          <w:p>
            <w:pPr>
              <w:spacing w:after="20" w:line="240" w:lineRule="auto"/>
            </w:pPr>
            <w:r>
              <w:rPr>
                <w:rFonts w:ascii="Arial" w:hAnsi="Arial"/>
                <w:b w:val="0"/>
                <w:color w:val="C00000"/>
                <w:sz w:val="15"/>
              </w:rPr>
              <w:t>-16.24</w:t>
            </w:r>
          </w:p>
        </w:tc>
        <w:tc>
          <w:tcPr>
            <w:tcW w:type="dxa" w:w="720"/>
            <w:shd w:fill="F7F9FC"/>
            <w:vAlign w:val="top"/>
          </w:tcPr>
          <w:p>
            <w:pPr>
              <w:spacing w:after="20" w:line="240" w:lineRule="auto"/>
            </w:pPr>
            <w:r>
              <w:rPr>
                <w:rFonts w:ascii="Arial" w:hAnsi="Arial"/>
                <w:b w:val="0"/>
                <w:color w:val="375623"/>
                <w:sz w:val="15"/>
              </w:rPr>
              <w:t>+10.52</w:t>
            </w:r>
          </w:p>
        </w:tc>
      </w:tr>
      <w:tr>
        <w:tc>
          <w:tcPr>
            <w:tcW w:type="dxa" w:w="1152"/>
            <w:vAlign w:val="top"/>
          </w:tcPr>
          <w:p>
            <w:pPr>
              <w:spacing w:after="20" w:line="240" w:lineRule="auto"/>
            </w:pPr>
            <w:r>
              <w:rPr>
                <w:rFonts w:ascii="Arial" w:hAnsi="Arial"/>
                <w:b w:val="0"/>
                <w:color w:val="595959"/>
                <w:sz w:val="15"/>
              </w:rPr>
              <w:t>6M / 126D</w:t>
            </w:r>
          </w:p>
        </w:tc>
        <w:tc>
          <w:tcPr>
            <w:tcW w:type="dxa" w:w="504"/>
            <w:vAlign w:val="top"/>
          </w:tcPr>
          <w:p>
            <w:pPr>
              <w:spacing w:after="20" w:line="240" w:lineRule="auto"/>
            </w:pPr>
            <w:r>
              <w:rPr>
                <w:rFonts w:ascii="Arial" w:hAnsi="Arial"/>
                <w:b w:val="0"/>
                <w:color w:val="595959"/>
                <w:sz w:val="15"/>
              </w:rPr>
              <w:t>42</w:t>
            </w:r>
          </w:p>
        </w:tc>
        <w:tc>
          <w:tcPr>
            <w:tcW w:type="dxa" w:w="792"/>
            <w:vAlign w:val="top"/>
          </w:tcPr>
          <w:p>
            <w:pPr>
              <w:spacing w:after="20" w:line="240" w:lineRule="auto"/>
            </w:pPr>
            <w:r>
              <w:rPr>
                <w:rFonts w:ascii="Arial" w:hAnsi="Arial"/>
                <w:b w:val="0"/>
                <w:color w:val="595959"/>
                <w:sz w:val="15"/>
              </w:rPr>
              <w:t>88.44</w:t>
            </w:r>
          </w:p>
        </w:tc>
        <w:tc>
          <w:tcPr>
            <w:tcW w:type="dxa" w:w="720"/>
            <w:vAlign w:val="top"/>
          </w:tcPr>
          <w:p>
            <w:pPr>
              <w:spacing w:after="20" w:line="240" w:lineRule="auto"/>
            </w:pPr>
            <w:r>
              <w:rPr>
                <w:rFonts w:ascii="Arial" w:hAnsi="Arial"/>
                <w:b w:val="0"/>
                <w:color w:val="375623"/>
                <w:sz w:val="15"/>
              </w:rPr>
              <w:t>+2.33</w:t>
            </w:r>
          </w:p>
        </w:tc>
        <w:tc>
          <w:tcPr>
            <w:tcW w:type="dxa" w:w="720"/>
            <w:vAlign w:val="top"/>
          </w:tcPr>
          <w:p>
            <w:pPr>
              <w:spacing w:after="20" w:line="240" w:lineRule="auto"/>
            </w:pPr>
            <w:r>
              <w:rPr>
                <w:rFonts w:ascii="Arial" w:hAnsi="Arial"/>
                <w:b w:val="0"/>
                <w:color w:val="375623"/>
                <w:sz w:val="15"/>
              </w:rPr>
              <w:t>+3.29</w:t>
            </w:r>
          </w:p>
        </w:tc>
        <w:tc>
          <w:tcPr>
            <w:tcW w:type="dxa" w:w="864"/>
            <w:vAlign w:val="top"/>
          </w:tcPr>
          <w:p>
            <w:pPr>
              <w:spacing w:after="20" w:line="240" w:lineRule="auto"/>
            </w:pPr>
            <w:r>
              <w:rPr>
                <w:rFonts w:ascii="Arial" w:hAnsi="Arial"/>
                <w:b w:val="0"/>
                <w:color w:val="595959"/>
                <w:sz w:val="15"/>
              </w:rPr>
              <w:t>65.90</w:t>
            </w:r>
          </w:p>
        </w:tc>
        <w:tc>
          <w:tcPr>
            <w:tcW w:type="dxa" w:w="648"/>
            <w:vAlign w:val="top"/>
          </w:tcPr>
          <w:p>
            <w:pPr>
              <w:spacing w:after="20" w:line="240" w:lineRule="auto"/>
            </w:pPr>
            <w:r>
              <w:rPr>
                <w:rFonts w:ascii="Arial" w:hAnsi="Arial"/>
                <w:b w:val="0"/>
                <w:color w:val="C00000"/>
                <w:sz w:val="15"/>
              </w:rPr>
              <w:t>-2.39</w:t>
            </w:r>
          </w:p>
        </w:tc>
        <w:tc>
          <w:tcPr>
            <w:tcW w:type="dxa" w:w="648"/>
            <w:vAlign w:val="top"/>
          </w:tcPr>
          <w:p>
            <w:pPr>
              <w:spacing w:after="20" w:line="240" w:lineRule="auto"/>
            </w:pPr>
            <w:r>
              <w:rPr>
                <w:rFonts w:ascii="Arial" w:hAnsi="Arial"/>
                <w:b w:val="0"/>
                <w:color w:val="C00000"/>
                <w:sz w:val="15"/>
              </w:rPr>
              <w:t>-1.09</w:t>
            </w:r>
          </w:p>
        </w:tc>
        <w:tc>
          <w:tcPr>
            <w:tcW w:type="dxa" w:w="648"/>
            <w:vAlign w:val="top"/>
          </w:tcPr>
          <w:p>
            <w:pPr>
              <w:spacing w:after="20" w:line="240" w:lineRule="auto"/>
            </w:pPr>
            <w:r>
              <w:rPr>
                <w:rFonts w:ascii="Arial" w:hAnsi="Arial"/>
                <w:b w:val="0"/>
                <w:color w:val="375623"/>
                <w:sz w:val="15"/>
              </w:rPr>
              <w:t>+7.95</w:t>
            </w:r>
          </w:p>
        </w:tc>
        <w:tc>
          <w:tcPr>
            <w:tcW w:type="dxa" w:w="648"/>
            <w:vAlign w:val="top"/>
          </w:tcPr>
          <w:p>
            <w:pPr>
              <w:spacing w:after="20" w:line="240" w:lineRule="auto"/>
            </w:pPr>
            <w:r>
              <w:rPr>
                <w:rFonts w:ascii="Arial" w:hAnsi="Arial"/>
                <w:b w:val="0"/>
                <w:color w:val="375623"/>
                <w:sz w:val="15"/>
              </w:rPr>
              <w:t>+9.67</w:t>
            </w:r>
          </w:p>
        </w:tc>
        <w:tc>
          <w:tcPr>
            <w:tcW w:type="dxa" w:w="720"/>
            <w:vAlign w:val="top"/>
          </w:tcPr>
          <w:p>
            <w:pPr>
              <w:spacing w:after="20" w:line="240" w:lineRule="auto"/>
            </w:pPr>
            <w:r>
              <w:rPr>
                <w:rFonts w:ascii="Arial" w:hAnsi="Arial"/>
                <w:b w:val="0"/>
                <w:color w:val="C00000"/>
                <w:sz w:val="15"/>
              </w:rPr>
              <w:t>-5.76</w:t>
            </w:r>
          </w:p>
        </w:tc>
        <w:tc>
          <w:tcPr>
            <w:tcW w:type="dxa" w:w="720"/>
            <w:vAlign w:val="top"/>
          </w:tcPr>
          <w:p>
            <w:pPr>
              <w:spacing w:after="20" w:line="240" w:lineRule="auto"/>
            </w:pPr>
            <w:r>
              <w:rPr>
                <w:rFonts w:ascii="Arial" w:hAnsi="Arial"/>
                <w:b w:val="0"/>
                <w:color w:val="375623"/>
                <w:sz w:val="15"/>
              </w:rPr>
              <w:t>+15.60</w:t>
            </w:r>
          </w:p>
        </w:tc>
      </w:tr>
      <w:tr>
        <w:tc>
          <w:tcPr>
            <w:tcW w:type="dxa" w:w="1152"/>
            <w:shd w:fill="F7F9FC"/>
            <w:vAlign w:val="top"/>
          </w:tcPr>
          <w:p>
            <w:pPr>
              <w:spacing w:after="20" w:line="240" w:lineRule="auto"/>
            </w:pPr>
            <w:r>
              <w:rPr>
                <w:rFonts w:ascii="Arial" w:hAnsi="Arial"/>
                <w:b w:val="0"/>
                <w:color w:val="595959"/>
                <w:sz w:val="15"/>
              </w:rPr>
              <w:t>1Y / 252D</w:t>
            </w:r>
          </w:p>
        </w:tc>
        <w:tc>
          <w:tcPr>
            <w:tcW w:type="dxa" w:w="504"/>
            <w:shd w:fill="F7F9FC"/>
            <w:vAlign w:val="top"/>
          </w:tcPr>
          <w:p>
            <w:pPr>
              <w:spacing w:after="20" w:line="240" w:lineRule="auto"/>
            </w:pPr>
            <w:r>
              <w:rPr>
                <w:rFonts w:ascii="Arial" w:hAnsi="Arial"/>
                <w:b w:val="0"/>
                <w:color w:val="595959"/>
                <w:sz w:val="15"/>
              </w:rPr>
              <w:t>34</w:t>
            </w:r>
          </w:p>
        </w:tc>
        <w:tc>
          <w:tcPr>
            <w:tcW w:type="dxa" w:w="792"/>
            <w:shd w:fill="F7F9FC"/>
            <w:vAlign w:val="top"/>
          </w:tcPr>
          <w:p>
            <w:pPr>
              <w:spacing w:after="20" w:line="240" w:lineRule="auto"/>
            </w:pPr>
            <w:r>
              <w:rPr>
                <w:rFonts w:ascii="Arial" w:hAnsi="Arial"/>
                <w:b w:val="0"/>
                <w:color w:val="595959"/>
                <w:sz w:val="15"/>
              </w:rPr>
              <w:t>69.19</w:t>
            </w:r>
          </w:p>
        </w:tc>
        <w:tc>
          <w:tcPr>
            <w:tcW w:type="dxa" w:w="720"/>
            <w:shd w:fill="F7F9FC"/>
            <w:vAlign w:val="top"/>
          </w:tcPr>
          <w:p>
            <w:pPr>
              <w:spacing w:after="20" w:line="240" w:lineRule="auto"/>
            </w:pPr>
            <w:r>
              <w:rPr>
                <w:rFonts w:ascii="Arial" w:hAnsi="Arial"/>
                <w:b w:val="0"/>
                <w:color w:val="375623"/>
                <w:sz w:val="15"/>
              </w:rPr>
              <w:t>+11.47</w:t>
            </w:r>
          </w:p>
        </w:tc>
        <w:tc>
          <w:tcPr>
            <w:tcW w:type="dxa" w:w="720"/>
            <w:shd w:fill="F7F9FC"/>
            <w:vAlign w:val="top"/>
          </w:tcPr>
          <w:p>
            <w:pPr>
              <w:spacing w:after="20" w:line="240" w:lineRule="auto"/>
            </w:pPr>
            <w:r>
              <w:rPr>
                <w:rFonts w:ascii="Arial" w:hAnsi="Arial"/>
                <w:b w:val="0"/>
                <w:color w:val="375623"/>
                <w:sz w:val="15"/>
              </w:rPr>
              <w:t>+10.21</w:t>
            </w:r>
          </w:p>
        </w:tc>
        <w:tc>
          <w:tcPr>
            <w:tcW w:type="dxa" w:w="864"/>
            <w:shd w:fill="F7F9FC"/>
            <w:vAlign w:val="top"/>
          </w:tcPr>
          <w:p>
            <w:pPr>
              <w:spacing w:after="20" w:line="240" w:lineRule="auto"/>
            </w:pPr>
            <w:r>
              <w:rPr>
                <w:rFonts w:ascii="Arial" w:hAnsi="Arial"/>
                <w:b w:val="0"/>
                <w:color w:val="595959"/>
                <w:sz w:val="15"/>
              </w:rPr>
              <w:t>87.10</w:t>
            </w:r>
          </w:p>
        </w:tc>
        <w:tc>
          <w:tcPr>
            <w:tcW w:type="dxa" w:w="648"/>
            <w:shd w:fill="F7F9FC"/>
            <w:vAlign w:val="top"/>
          </w:tcPr>
          <w:p>
            <w:pPr>
              <w:spacing w:after="20" w:line="240" w:lineRule="auto"/>
            </w:pPr>
            <w:r>
              <w:rPr>
                <w:rFonts w:ascii="Arial" w:hAnsi="Arial"/>
                <w:b w:val="0"/>
                <w:color w:val="C00000"/>
                <w:sz w:val="15"/>
              </w:rPr>
              <w:t>-2.99</w:t>
            </w:r>
          </w:p>
        </w:tc>
        <w:tc>
          <w:tcPr>
            <w:tcW w:type="dxa" w:w="648"/>
            <w:shd w:fill="F7F9FC"/>
            <w:vAlign w:val="top"/>
          </w:tcPr>
          <w:p>
            <w:pPr>
              <w:spacing w:after="20" w:line="240" w:lineRule="auto"/>
            </w:pPr>
            <w:r>
              <w:rPr>
                <w:rFonts w:ascii="Arial" w:hAnsi="Arial"/>
                <w:b w:val="0"/>
                <w:color w:val="375623"/>
                <w:sz w:val="15"/>
              </w:rPr>
              <w:t>+2.06</w:t>
            </w:r>
          </w:p>
        </w:tc>
        <w:tc>
          <w:tcPr>
            <w:tcW w:type="dxa" w:w="648"/>
            <w:shd w:fill="F7F9FC"/>
            <w:vAlign w:val="top"/>
          </w:tcPr>
          <w:p>
            <w:pPr>
              <w:spacing w:after="20" w:line="240" w:lineRule="auto"/>
            </w:pPr>
            <w:r>
              <w:rPr>
                <w:rFonts w:ascii="Arial" w:hAnsi="Arial"/>
                <w:b w:val="0"/>
                <w:color w:val="375623"/>
                <w:sz w:val="15"/>
              </w:rPr>
              <w:t>+17.66</w:t>
            </w:r>
          </w:p>
        </w:tc>
        <w:tc>
          <w:tcPr>
            <w:tcW w:type="dxa" w:w="648"/>
            <w:shd w:fill="F7F9FC"/>
            <w:vAlign w:val="top"/>
          </w:tcPr>
          <w:p>
            <w:pPr>
              <w:spacing w:after="20" w:line="240" w:lineRule="auto"/>
            </w:pPr>
            <w:r>
              <w:rPr>
                <w:rFonts w:ascii="Arial" w:hAnsi="Arial"/>
                <w:b w:val="0"/>
                <w:color w:val="375623"/>
                <w:sz w:val="15"/>
              </w:rPr>
              <w:t>+23.83</w:t>
            </w:r>
          </w:p>
        </w:tc>
        <w:tc>
          <w:tcPr>
            <w:tcW w:type="dxa" w:w="720"/>
            <w:shd w:fill="F7F9FC"/>
            <w:vAlign w:val="top"/>
          </w:tcPr>
          <w:p>
            <w:pPr>
              <w:spacing w:after="20" w:line="240" w:lineRule="auto"/>
            </w:pPr>
            <w:r>
              <w:rPr>
                <w:rFonts w:ascii="Arial" w:hAnsi="Arial"/>
                <w:b w:val="0"/>
                <w:color w:val="C00000"/>
                <w:sz w:val="15"/>
              </w:rPr>
              <w:t>-6.97</w:t>
            </w:r>
          </w:p>
        </w:tc>
        <w:tc>
          <w:tcPr>
            <w:tcW w:type="dxa" w:w="720"/>
            <w:shd w:fill="F7F9FC"/>
            <w:vAlign w:val="top"/>
          </w:tcPr>
          <w:p>
            <w:pPr>
              <w:spacing w:after="20" w:line="240" w:lineRule="auto"/>
            </w:pPr>
            <w:r>
              <w:rPr>
                <w:rFonts w:ascii="Arial" w:hAnsi="Arial"/>
                <w:b w:val="0"/>
                <w:color w:val="375623"/>
                <w:sz w:val="15"/>
              </w:rPr>
              <w:t>+28.22</w:t>
            </w:r>
          </w:p>
        </w:tc>
      </w:tr>
    </w:tbl>
    <w:p>
      <w:pPr>
        <w:spacing w:after="120"/>
      </w:pPr>
    </w:p>
    <w:p>
      <w:r>
        <w:drawing>
          <wp:inline xmlns:a="http://schemas.openxmlformats.org/drawingml/2006/main" xmlns:pic="http://schemas.openxmlformats.org/drawingml/2006/picture">
            <wp:extent cx="5852160" cy="2426506"/>
            <wp:docPr id="4" name="Picture 4"/>
            <wp:cNvGraphicFramePr>
              <a:graphicFrameLocks noChangeAspect="1"/>
            </wp:cNvGraphicFramePr>
            <a:graphic>
              <a:graphicData uri="http://schemas.openxmlformats.org/drawingml/2006/picture">
                <pic:pic>
                  <pic:nvPicPr>
                    <pic:cNvPr id="0" name="historical_macro_forward_returns.png"/>
                    <pic:cNvPicPr/>
                  </pic:nvPicPr>
                  <pic:blipFill>
                    <a:blip r:embed="rId11"/>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val="0"/>
          <w:color w:val="595959"/>
          <w:sz w:val="17"/>
        </w:rPr>
        <w:t>Longer horizons naturally have lower sample sizes because recent historical rows do not yet have full forward-return windows, especially 1Y / 252D.</w:t>
      </w:r>
    </w:p>
    <w:p>
      <w:pPr>
        <w:spacing w:before="180" w:after="80"/>
      </w:pPr>
      <w:r>
        <w:rPr>
          <w:rFonts w:ascii="Arial" w:hAnsi="Arial"/>
          <w:b/>
          <w:color w:val="2E75B6"/>
          <w:sz w:val="21"/>
        </w:rPr>
        <w:t>Historical Tactical Forward Return Stats</w:t>
      </w:r>
    </w:p>
    <w:tbl>
      <w:tblPr>
        <w:tblStyle w:val="TableGrid"/>
        <w:tblW w:type="auto" w:w="0"/>
        <w:jc w:val="center"/>
        <w:tblLayout w:type="fixed"/>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tblGrid>
      <w:tr>
        <w:trPr>
          <w:tblHeader w:val="true"/>
        </w:trPr>
        <w:tc>
          <w:tcPr>
            <w:tcW w:type="dxa" w:w="1152"/>
            <w:shd w:fill="1F4E79"/>
            <w:vAlign w:val="top"/>
          </w:tcPr>
          <w:p>
            <w:pPr>
              <w:spacing w:after="20" w:line="240" w:lineRule="auto"/>
            </w:pPr>
            <w:r>
              <w:rPr>
                <w:rFonts w:ascii="Arial" w:hAnsi="Arial"/>
                <w:b/>
                <w:color w:val="FFFFFF"/>
                <w:sz w:val="15"/>
              </w:rPr>
              <w:t>Horizon</w:t>
            </w:r>
          </w:p>
        </w:tc>
        <w:tc>
          <w:tcPr>
            <w:tcW w:type="dxa" w:w="504"/>
            <w:shd w:fill="1F4E79"/>
            <w:vAlign w:val="top"/>
          </w:tcPr>
          <w:p>
            <w:pPr>
              <w:spacing w:after="20" w:line="240" w:lineRule="auto"/>
            </w:pPr>
            <w:r>
              <w:rPr>
                <w:rFonts w:ascii="Arial" w:hAnsi="Arial"/>
                <w:b/>
                <w:color w:val="FFFFFF"/>
                <w:sz w:val="15"/>
              </w:rPr>
              <w:t>N</w:t>
            </w:r>
          </w:p>
        </w:tc>
        <w:tc>
          <w:tcPr>
            <w:tcW w:type="dxa" w:w="792"/>
            <w:shd w:fill="1F4E79"/>
            <w:vAlign w:val="top"/>
          </w:tcPr>
          <w:p>
            <w:pPr>
              <w:spacing w:after="20" w:line="240" w:lineRule="auto"/>
            </w:pPr>
            <w:r>
              <w:rPr>
                <w:rFonts w:ascii="Arial" w:hAnsi="Arial"/>
                <w:b/>
                <w:color w:val="FFFFFF"/>
                <w:sz w:val="15"/>
              </w:rPr>
              <w:t>Weight Sum</w:t>
            </w:r>
          </w:p>
        </w:tc>
        <w:tc>
          <w:tcPr>
            <w:tcW w:type="dxa" w:w="720"/>
            <w:shd w:fill="1F4E79"/>
            <w:vAlign w:val="top"/>
          </w:tcPr>
          <w:p>
            <w:pPr>
              <w:spacing w:after="20" w:line="240" w:lineRule="auto"/>
            </w:pPr>
            <w:r>
              <w:rPr>
                <w:rFonts w:ascii="Arial" w:hAnsi="Arial"/>
                <w:b/>
                <w:color w:val="FFFFFF"/>
                <w:sz w:val="15"/>
              </w:rPr>
              <w:t>Median</w:t>
            </w:r>
          </w:p>
        </w:tc>
        <w:tc>
          <w:tcPr>
            <w:tcW w:type="dxa" w:w="720"/>
            <w:shd w:fill="1F4E79"/>
            <w:vAlign w:val="top"/>
          </w:tcPr>
          <w:p>
            <w:pPr>
              <w:spacing w:after="20" w:line="240" w:lineRule="auto"/>
            </w:pPr>
            <w:r>
              <w:rPr>
                <w:rFonts w:ascii="Arial" w:hAnsi="Arial"/>
                <w:b/>
                <w:color w:val="FFFFFF"/>
                <w:sz w:val="15"/>
              </w:rPr>
              <w:t>Mean</w:t>
            </w:r>
          </w:p>
        </w:tc>
        <w:tc>
          <w:tcPr>
            <w:tcW w:type="dxa" w:w="864"/>
            <w:shd w:fill="1F4E79"/>
            <w:vAlign w:val="top"/>
          </w:tcPr>
          <w:p>
            <w:pPr>
              <w:spacing w:after="20" w:line="240" w:lineRule="auto"/>
            </w:pPr>
            <w:r>
              <w:rPr>
                <w:rFonts w:ascii="Arial" w:hAnsi="Arial"/>
                <w:b/>
                <w:color w:val="FFFFFF"/>
                <w:sz w:val="15"/>
              </w:rPr>
              <w:t>% Positive</w:t>
            </w:r>
          </w:p>
        </w:tc>
        <w:tc>
          <w:tcPr>
            <w:tcW w:type="dxa" w:w="648"/>
            <w:shd w:fill="1F4E79"/>
            <w:vAlign w:val="top"/>
          </w:tcPr>
          <w:p>
            <w:pPr>
              <w:spacing w:after="20" w:line="240" w:lineRule="auto"/>
            </w:pPr>
            <w:r>
              <w:rPr>
                <w:rFonts w:ascii="Arial" w:hAnsi="Arial"/>
                <w:b/>
                <w:color w:val="FFFFFF"/>
                <w:sz w:val="15"/>
              </w:rPr>
              <w:t>P10</w:t>
            </w:r>
          </w:p>
        </w:tc>
        <w:tc>
          <w:tcPr>
            <w:tcW w:type="dxa" w:w="648"/>
            <w:shd w:fill="1F4E79"/>
            <w:vAlign w:val="top"/>
          </w:tcPr>
          <w:p>
            <w:pPr>
              <w:spacing w:after="20" w:line="240" w:lineRule="auto"/>
            </w:pPr>
            <w:r>
              <w:rPr>
                <w:rFonts w:ascii="Arial" w:hAnsi="Arial"/>
                <w:b/>
                <w:color w:val="FFFFFF"/>
                <w:sz w:val="15"/>
              </w:rPr>
              <w:t>P25</w:t>
            </w:r>
          </w:p>
        </w:tc>
        <w:tc>
          <w:tcPr>
            <w:tcW w:type="dxa" w:w="648"/>
            <w:shd w:fill="1F4E79"/>
            <w:vAlign w:val="top"/>
          </w:tcPr>
          <w:p>
            <w:pPr>
              <w:spacing w:after="20" w:line="240" w:lineRule="auto"/>
            </w:pPr>
            <w:r>
              <w:rPr>
                <w:rFonts w:ascii="Arial" w:hAnsi="Arial"/>
                <w:b/>
                <w:color w:val="FFFFFF"/>
                <w:sz w:val="15"/>
              </w:rPr>
              <w:t>P75</w:t>
            </w:r>
          </w:p>
        </w:tc>
        <w:tc>
          <w:tcPr>
            <w:tcW w:type="dxa" w:w="648"/>
            <w:shd w:fill="1F4E79"/>
            <w:vAlign w:val="top"/>
          </w:tcPr>
          <w:p>
            <w:pPr>
              <w:spacing w:after="20" w:line="240" w:lineRule="auto"/>
            </w:pPr>
            <w:r>
              <w:rPr>
                <w:rFonts w:ascii="Arial" w:hAnsi="Arial"/>
                <w:b/>
                <w:color w:val="FFFFFF"/>
                <w:sz w:val="15"/>
              </w:rPr>
              <w:t>P90</w:t>
            </w:r>
          </w:p>
        </w:tc>
        <w:tc>
          <w:tcPr>
            <w:tcW w:type="dxa" w:w="720"/>
            <w:shd w:fill="1F4E79"/>
            <w:vAlign w:val="top"/>
          </w:tcPr>
          <w:p>
            <w:pPr>
              <w:spacing w:after="20" w:line="240" w:lineRule="auto"/>
            </w:pPr>
            <w:r>
              <w:rPr>
                <w:rFonts w:ascii="Arial" w:hAnsi="Arial"/>
                <w:b/>
                <w:color w:val="FFFFFF"/>
                <w:sz w:val="15"/>
              </w:rPr>
              <w:t>Worst</w:t>
            </w:r>
          </w:p>
        </w:tc>
        <w:tc>
          <w:tcPr>
            <w:tcW w:type="dxa" w:w="720"/>
            <w:shd w:fill="1F4E79"/>
            <w:vAlign w:val="top"/>
          </w:tcPr>
          <w:p>
            <w:pPr>
              <w:spacing w:after="20" w:line="240" w:lineRule="auto"/>
            </w:pPr>
            <w:r>
              <w:rPr>
                <w:rFonts w:ascii="Arial" w:hAnsi="Arial"/>
                <w:b/>
                <w:color w:val="FFFFFF"/>
                <w:sz w:val="15"/>
              </w:rPr>
              <w:t>Best</w:t>
            </w:r>
          </w:p>
        </w:tc>
      </w:tr>
      <w:tr>
        <w:tc>
          <w:tcPr>
            <w:tcW w:type="dxa" w:w="1152"/>
            <w:vAlign w:val="top"/>
          </w:tcPr>
          <w:p>
            <w:pPr>
              <w:spacing w:after="20" w:line="240" w:lineRule="auto"/>
            </w:pPr>
            <w:r>
              <w:rPr>
                <w:rFonts w:ascii="Arial" w:hAnsi="Arial"/>
                <w:b w:val="0"/>
                <w:color w:val="595959"/>
                <w:sz w:val="15"/>
              </w:rPr>
              <w:t>1D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104.92</w:t>
            </w:r>
          </w:p>
        </w:tc>
        <w:tc>
          <w:tcPr>
            <w:tcW w:type="dxa" w:w="720"/>
            <w:vAlign w:val="top"/>
          </w:tcPr>
          <w:p>
            <w:pPr>
              <w:spacing w:after="20" w:line="240" w:lineRule="auto"/>
            </w:pPr>
            <w:r>
              <w:rPr>
                <w:rFonts w:ascii="Arial" w:hAnsi="Arial"/>
                <w:b w:val="0"/>
                <w:color w:val="375623"/>
                <w:sz w:val="15"/>
              </w:rPr>
              <w:t>+0.04</w:t>
            </w:r>
          </w:p>
        </w:tc>
        <w:tc>
          <w:tcPr>
            <w:tcW w:type="dxa" w:w="720"/>
            <w:vAlign w:val="top"/>
          </w:tcPr>
          <w:p>
            <w:pPr>
              <w:spacing w:after="20" w:line="240" w:lineRule="auto"/>
            </w:pPr>
            <w:r>
              <w:rPr>
                <w:rFonts w:ascii="Arial" w:hAnsi="Arial"/>
                <w:b w:val="0"/>
                <w:color w:val="C00000"/>
                <w:sz w:val="15"/>
              </w:rPr>
              <w:t>-0.01</w:t>
            </w:r>
          </w:p>
        </w:tc>
        <w:tc>
          <w:tcPr>
            <w:tcW w:type="dxa" w:w="864"/>
            <w:vAlign w:val="top"/>
          </w:tcPr>
          <w:p>
            <w:pPr>
              <w:spacing w:after="20" w:line="240" w:lineRule="auto"/>
            </w:pPr>
            <w:r>
              <w:rPr>
                <w:rFonts w:ascii="Arial" w:hAnsi="Arial"/>
                <w:b w:val="0"/>
                <w:color w:val="595959"/>
                <w:sz w:val="15"/>
              </w:rPr>
              <w:t>54.20</w:t>
            </w:r>
          </w:p>
        </w:tc>
        <w:tc>
          <w:tcPr>
            <w:tcW w:type="dxa" w:w="648"/>
            <w:vAlign w:val="top"/>
          </w:tcPr>
          <w:p>
            <w:pPr>
              <w:spacing w:after="20" w:line="240" w:lineRule="auto"/>
            </w:pPr>
            <w:r>
              <w:rPr>
                <w:rFonts w:ascii="Arial" w:hAnsi="Arial"/>
                <w:b w:val="0"/>
                <w:color w:val="C00000"/>
                <w:sz w:val="15"/>
              </w:rPr>
              <w:t>-0.57</w:t>
            </w:r>
          </w:p>
        </w:tc>
        <w:tc>
          <w:tcPr>
            <w:tcW w:type="dxa" w:w="648"/>
            <w:vAlign w:val="top"/>
          </w:tcPr>
          <w:p>
            <w:pPr>
              <w:spacing w:after="20" w:line="240" w:lineRule="auto"/>
            </w:pPr>
            <w:r>
              <w:rPr>
                <w:rFonts w:ascii="Arial" w:hAnsi="Arial"/>
                <w:b w:val="0"/>
                <w:color w:val="C00000"/>
                <w:sz w:val="15"/>
              </w:rPr>
              <w:t>-0.34</w:t>
            </w:r>
          </w:p>
        </w:tc>
        <w:tc>
          <w:tcPr>
            <w:tcW w:type="dxa" w:w="648"/>
            <w:vAlign w:val="top"/>
          </w:tcPr>
          <w:p>
            <w:pPr>
              <w:spacing w:after="20" w:line="240" w:lineRule="auto"/>
            </w:pPr>
            <w:r>
              <w:rPr>
                <w:rFonts w:ascii="Arial" w:hAnsi="Arial"/>
                <w:b w:val="0"/>
                <w:color w:val="375623"/>
                <w:sz w:val="15"/>
              </w:rPr>
              <w:t>+0.41</w:t>
            </w:r>
          </w:p>
        </w:tc>
        <w:tc>
          <w:tcPr>
            <w:tcW w:type="dxa" w:w="648"/>
            <w:vAlign w:val="top"/>
          </w:tcPr>
          <w:p>
            <w:pPr>
              <w:spacing w:after="20" w:line="240" w:lineRule="auto"/>
            </w:pPr>
            <w:r>
              <w:rPr>
                <w:rFonts w:ascii="Arial" w:hAnsi="Arial"/>
                <w:b w:val="0"/>
                <w:color w:val="375623"/>
                <w:sz w:val="15"/>
              </w:rPr>
              <w:t>+0.79</w:t>
            </w:r>
          </w:p>
        </w:tc>
        <w:tc>
          <w:tcPr>
            <w:tcW w:type="dxa" w:w="720"/>
            <w:vAlign w:val="top"/>
          </w:tcPr>
          <w:p>
            <w:pPr>
              <w:spacing w:after="20" w:line="240" w:lineRule="auto"/>
            </w:pPr>
            <w:r>
              <w:rPr>
                <w:rFonts w:ascii="Arial" w:hAnsi="Arial"/>
                <w:b w:val="0"/>
                <w:color w:val="C00000"/>
                <w:sz w:val="15"/>
              </w:rPr>
              <w:t>-3.17</w:t>
            </w:r>
          </w:p>
        </w:tc>
        <w:tc>
          <w:tcPr>
            <w:tcW w:type="dxa" w:w="720"/>
            <w:vAlign w:val="top"/>
          </w:tcPr>
          <w:p>
            <w:pPr>
              <w:spacing w:after="20" w:line="240" w:lineRule="auto"/>
            </w:pPr>
            <w:r>
              <w:rPr>
                <w:rFonts w:ascii="Arial" w:hAnsi="Arial"/>
                <w:b w:val="0"/>
                <w:color w:val="375623"/>
                <w:sz w:val="15"/>
              </w:rPr>
              <w:t>+1.32</w:t>
            </w:r>
          </w:p>
        </w:tc>
      </w:tr>
      <w:tr>
        <w:tc>
          <w:tcPr>
            <w:tcW w:type="dxa" w:w="1152"/>
            <w:shd w:fill="F7F9FC"/>
            <w:vAlign w:val="top"/>
          </w:tcPr>
          <w:p>
            <w:pPr>
              <w:spacing w:after="20" w:line="240" w:lineRule="auto"/>
            </w:pPr>
            <w:r>
              <w:rPr>
                <w:rFonts w:ascii="Arial" w:hAnsi="Arial"/>
                <w:b w:val="0"/>
                <w:color w:val="595959"/>
                <w:sz w:val="15"/>
              </w:rPr>
              <w:t>5D</w:t>
            </w:r>
          </w:p>
        </w:tc>
        <w:tc>
          <w:tcPr>
            <w:tcW w:type="dxa" w:w="504"/>
            <w:shd w:fill="F7F9FC"/>
            <w:vAlign w:val="top"/>
          </w:tcPr>
          <w:p>
            <w:pPr>
              <w:spacing w:after="20" w:line="240" w:lineRule="auto"/>
            </w:pPr>
            <w:r>
              <w:rPr>
                <w:rFonts w:ascii="Arial" w:hAnsi="Arial"/>
                <w:b w:val="0"/>
                <w:color w:val="595959"/>
                <w:sz w:val="15"/>
              </w:rPr>
              <w:t>50</w:t>
            </w:r>
          </w:p>
        </w:tc>
        <w:tc>
          <w:tcPr>
            <w:tcW w:type="dxa" w:w="792"/>
            <w:shd w:fill="F7F9FC"/>
            <w:vAlign w:val="top"/>
          </w:tcPr>
          <w:p>
            <w:pPr>
              <w:spacing w:after="20" w:line="240" w:lineRule="auto"/>
            </w:pPr>
            <w:r>
              <w:rPr>
                <w:rFonts w:ascii="Arial" w:hAnsi="Arial"/>
                <w:b w:val="0"/>
                <w:color w:val="595959"/>
                <w:sz w:val="15"/>
              </w:rPr>
              <w:t>104.92</w:t>
            </w:r>
          </w:p>
        </w:tc>
        <w:tc>
          <w:tcPr>
            <w:tcW w:type="dxa" w:w="720"/>
            <w:shd w:fill="F7F9FC"/>
            <w:vAlign w:val="top"/>
          </w:tcPr>
          <w:p>
            <w:pPr>
              <w:spacing w:after="20" w:line="240" w:lineRule="auto"/>
            </w:pPr>
            <w:r>
              <w:rPr>
                <w:rFonts w:ascii="Arial" w:hAnsi="Arial"/>
                <w:b w:val="0"/>
                <w:color w:val="375623"/>
                <w:sz w:val="15"/>
              </w:rPr>
              <w:t>+0.44</w:t>
            </w:r>
          </w:p>
        </w:tc>
        <w:tc>
          <w:tcPr>
            <w:tcW w:type="dxa" w:w="720"/>
            <w:shd w:fill="F7F9FC"/>
            <w:vAlign w:val="top"/>
          </w:tcPr>
          <w:p>
            <w:pPr>
              <w:spacing w:after="20" w:line="240" w:lineRule="auto"/>
            </w:pPr>
            <w:r>
              <w:rPr>
                <w:rFonts w:ascii="Arial" w:hAnsi="Arial"/>
                <w:b w:val="0"/>
                <w:color w:val="375623"/>
                <w:sz w:val="15"/>
              </w:rPr>
              <w:t>+0.33</w:t>
            </w:r>
          </w:p>
        </w:tc>
        <w:tc>
          <w:tcPr>
            <w:tcW w:type="dxa" w:w="864"/>
            <w:shd w:fill="F7F9FC"/>
            <w:vAlign w:val="top"/>
          </w:tcPr>
          <w:p>
            <w:pPr>
              <w:spacing w:after="20" w:line="240" w:lineRule="auto"/>
            </w:pPr>
            <w:r>
              <w:rPr>
                <w:rFonts w:ascii="Arial" w:hAnsi="Arial"/>
                <w:b w:val="0"/>
                <w:color w:val="595959"/>
                <w:sz w:val="15"/>
              </w:rPr>
              <w:t>61.90</w:t>
            </w:r>
          </w:p>
        </w:tc>
        <w:tc>
          <w:tcPr>
            <w:tcW w:type="dxa" w:w="648"/>
            <w:shd w:fill="F7F9FC"/>
            <w:vAlign w:val="top"/>
          </w:tcPr>
          <w:p>
            <w:pPr>
              <w:spacing w:after="20" w:line="240" w:lineRule="auto"/>
            </w:pPr>
            <w:r>
              <w:rPr>
                <w:rFonts w:ascii="Arial" w:hAnsi="Arial"/>
                <w:b w:val="0"/>
                <w:color w:val="C00000"/>
                <w:sz w:val="15"/>
              </w:rPr>
              <w:t>-1.38</w:t>
            </w:r>
          </w:p>
        </w:tc>
        <w:tc>
          <w:tcPr>
            <w:tcW w:type="dxa" w:w="648"/>
            <w:shd w:fill="F7F9FC"/>
            <w:vAlign w:val="top"/>
          </w:tcPr>
          <w:p>
            <w:pPr>
              <w:spacing w:after="20" w:line="240" w:lineRule="auto"/>
            </w:pPr>
            <w:r>
              <w:rPr>
                <w:rFonts w:ascii="Arial" w:hAnsi="Arial"/>
                <w:b w:val="0"/>
                <w:color w:val="C00000"/>
                <w:sz w:val="15"/>
              </w:rPr>
              <w:t>-0.44</w:t>
            </w:r>
          </w:p>
        </w:tc>
        <w:tc>
          <w:tcPr>
            <w:tcW w:type="dxa" w:w="648"/>
            <w:shd w:fill="F7F9FC"/>
            <w:vAlign w:val="top"/>
          </w:tcPr>
          <w:p>
            <w:pPr>
              <w:spacing w:after="20" w:line="240" w:lineRule="auto"/>
            </w:pPr>
            <w:r>
              <w:rPr>
                <w:rFonts w:ascii="Arial" w:hAnsi="Arial"/>
                <w:b w:val="0"/>
                <w:color w:val="375623"/>
                <w:sz w:val="15"/>
              </w:rPr>
              <w:t>+0.93</w:t>
            </w:r>
          </w:p>
        </w:tc>
        <w:tc>
          <w:tcPr>
            <w:tcW w:type="dxa" w:w="648"/>
            <w:shd w:fill="F7F9FC"/>
            <w:vAlign w:val="top"/>
          </w:tcPr>
          <w:p>
            <w:pPr>
              <w:spacing w:after="20" w:line="240" w:lineRule="auto"/>
            </w:pPr>
            <w:r>
              <w:rPr>
                <w:rFonts w:ascii="Arial" w:hAnsi="Arial"/>
                <w:b w:val="0"/>
                <w:color w:val="375623"/>
                <w:sz w:val="15"/>
              </w:rPr>
              <w:t>+1.91</w:t>
            </w:r>
          </w:p>
        </w:tc>
        <w:tc>
          <w:tcPr>
            <w:tcW w:type="dxa" w:w="720"/>
            <w:shd w:fill="F7F9FC"/>
            <w:vAlign w:val="top"/>
          </w:tcPr>
          <w:p>
            <w:pPr>
              <w:spacing w:after="20" w:line="240" w:lineRule="auto"/>
            </w:pPr>
            <w:r>
              <w:rPr>
                <w:rFonts w:ascii="Arial" w:hAnsi="Arial"/>
                <w:b w:val="0"/>
                <w:color w:val="C00000"/>
                <w:sz w:val="15"/>
              </w:rPr>
              <w:t>-2.92</w:t>
            </w:r>
          </w:p>
        </w:tc>
        <w:tc>
          <w:tcPr>
            <w:tcW w:type="dxa" w:w="720"/>
            <w:shd w:fill="F7F9FC"/>
            <w:vAlign w:val="top"/>
          </w:tcPr>
          <w:p>
            <w:pPr>
              <w:spacing w:after="20" w:line="240" w:lineRule="auto"/>
            </w:pPr>
            <w:r>
              <w:rPr>
                <w:rFonts w:ascii="Arial" w:hAnsi="Arial"/>
                <w:b w:val="0"/>
                <w:color w:val="375623"/>
                <w:sz w:val="15"/>
              </w:rPr>
              <w:t>+5.08</w:t>
            </w:r>
          </w:p>
        </w:tc>
      </w:tr>
      <w:tr>
        <w:tc>
          <w:tcPr>
            <w:tcW w:type="dxa" w:w="1152"/>
            <w:vAlign w:val="top"/>
          </w:tcPr>
          <w:p>
            <w:pPr>
              <w:spacing w:after="20" w:line="240" w:lineRule="auto"/>
            </w:pPr>
            <w:r>
              <w:rPr>
                <w:rFonts w:ascii="Arial" w:hAnsi="Arial"/>
                <w:b w:val="0"/>
                <w:color w:val="595959"/>
                <w:sz w:val="15"/>
              </w:rPr>
              <w:t>10D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104.92</w:t>
            </w:r>
          </w:p>
        </w:tc>
        <w:tc>
          <w:tcPr>
            <w:tcW w:type="dxa" w:w="720"/>
            <w:vAlign w:val="top"/>
          </w:tcPr>
          <w:p>
            <w:pPr>
              <w:spacing w:after="20" w:line="240" w:lineRule="auto"/>
            </w:pPr>
            <w:r>
              <w:rPr>
                <w:rFonts w:ascii="Arial" w:hAnsi="Arial"/>
                <w:b w:val="0"/>
                <w:color w:val="375623"/>
                <w:sz w:val="15"/>
              </w:rPr>
              <w:t>+0.46</w:t>
            </w:r>
          </w:p>
        </w:tc>
        <w:tc>
          <w:tcPr>
            <w:tcW w:type="dxa" w:w="720"/>
            <w:vAlign w:val="top"/>
          </w:tcPr>
          <w:p>
            <w:pPr>
              <w:spacing w:after="20" w:line="240" w:lineRule="auto"/>
            </w:pPr>
            <w:r>
              <w:rPr>
                <w:rFonts w:ascii="Arial" w:hAnsi="Arial"/>
                <w:b w:val="0"/>
                <w:color w:val="C00000"/>
                <w:sz w:val="15"/>
              </w:rPr>
              <w:t>-0.38</w:t>
            </w:r>
          </w:p>
        </w:tc>
        <w:tc>
          <w:tcPr>
            <w:tcW w:type="dxa" w:w="864"/>
            <w:vAlign w:val="top"/>
          </w:tcPr>
          <w:p>
            <w:pPr>
              <w:spacing w:after="20" w:line="240" w:lineRule="auto"/>
            </w:pPr>
            <w:r>
              <w:rPr>
                <w:rFonts w:ascii="Arial" w:hAnsi="Arial"/>
                <w:b w:val="0"/>
                <w:color w:val="595959"/>
                <w:sz w:val="15"/>
              </w:rPr>
              <w:t>58.90</w:t>
            </w:r>
          </w:p>
        </w:tc>
        <w:tc>
          <w:tcPr>
            <w:tcW w:type="dxa" w:w="648"/>
            <w:vAlign w:val="top"/>
          </w:tcPr>
          <w:p>
            <w:pPr>
              <w:spacing w:after="20" w:line="240" w:lineRule="auto"/>
            </w:pPr>
            <w:r>
              <w:rPr>
                <w:rFonts w:ascii="Arial" w:hAnsi="Arial"/>
                <w:b w:val="0"/>
                <w:color w:val="C00000"/>
                <w:sz w:val="15"/>
              </w:rPr>
              <w:t>-5.10</w:t>
            </w:r>
          </w:p>
        </w:tc>
        <w:tc>
          <w:tcPr>
            <w:tcW w:type="dxa" w:w="648"/>
            <w:vAlign w:val="top"/>
          </w:tcPr>
          <w:p>
            <w:pPr>
              <w:spacing w:after="20" w:line="240" w:lineRule="auto"/>
            </w:pPr>
            <w:r>
              <w:rPr>
                <w:rFonts w:ascii="Arial" w:hAnsi="Arial"/>
                <w:b w:val="0"/>
                <w:color w:val="C00000"/>
                <w:sz w:val="15"/>
              </w:rPr>
              <w:t>-1.51</w:t>
            </w:r>
          </w:p>
        </w:tc>
        <w:tc>
          <w:tcPr>
            <w:tcW w:type="dxa" w:w="648"/>
            <w:vAlign w:val="top"/>
          </w:tcPr>
          <w:p>
            <w:pPr>
              <w:spacing w:after="20" w:line="240" w:lineRule="auto"/>
            </w:pPr>
            <w:r>
              <w:rPr>
                <w:rFonts w:ascii="Arial" w:hAnsi="Arial"/>
                <w:b w:val="0"/>
                <w:color w:val="375623"/>
                <w:sz w:val="15"/>
              </w:rPr>
              <w:t>+1.22</w:t>
            </w:r>
          </w:p>
        </w:tc>
        <w:tc>
          <w:tcPr>
            <w:tcW w:type="dxa" w:w="648"/>
            <w:vAlign w:val="top"/>
          </w:tcPr>
          <w:p>
            <w:pPr>
              <w:spacing w:after="20" w:line="240" w:lineRule="auto"/>
            </w:pPr>
            <w:r>
              <w:rPr>
                <w:rFonts w:ascii="Arial" w:hAnsi="Arial"/>
                <w:b w:val="0"/>
                <w:color w:val="375623"/>
                <w:sz w:val="15"/>
              </w:rPr>
              <w:t>+3.21</w:t>
            </w:r>
          </w:p>
        </w:tc>
        <w:tc>
          <w:tcPr>
            <w:tcW w:type="dxa" w:w="720"/>
            <w:vAlign w:val="top"/>
          </w:tcPr>
          <w:p>
            <w:pPr>
              <w:spacing w:after="20" w:line="240" w:lineRule="auto"/>
            </w:pPr>
            <w:r>
              <w:rPr>
                <w:rFonts w:ascii="Arial" w:hAnsi="Arial"/>
                <w:b w:val="0"/>
                <w:color w:val="C00000"/>
                <w:sz w:val="15"/>
              </w:rPr>
              <w:t>-9.06</w:t>
            </w:r>
          </w:p>
        </w:tc>
        <w:tc>
          <w:tcPr>
            <w:tcW w:type="dxa" w:w="720"/>
            <w:vAlign w:val="top"/>
          </w:tcPr>
          <w:p>
            <w:pPr>
              <w:spacing w:after="20" w:line="240" w:lineRule="auto"/>
            </w:pPr>
            <w:r>
              <w:rPr>
                <w:rFonts w:ascii="Arial" w:hAnsi="Arial"/>
                <w:b w:val="0"/>
                <w:color w:val="375623"/>
                <w:sz w:val="15"/>
              </w:rPr>
              <w:t>+5.14</w:t>
            </w:r>
          </w:p>
        </w:tc>
      </w:tr>
    </w:tbl>
    <w:p>
      <w:pPr>
        <w:spacing w:after="120"/>
      </w:pPr>
    </w:p>
    <w:p>
      <w:pPr>
        <w:spacing w:before="180" w:after="80"/>
      </w:pPr>
      <w:r>
        <w:rPr>
          <w:rFonts w:ascii="Arial" w:hAnsi="Arial"/>
          <w:b/>
          <w:color w:val="2E75B6"/>
          <w:sz w:val="21"/>
        </w:rPr>
        <w:t>Historical Risk Profile by Horizon</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224"/>
            <w:shd w:fill="1F4E79"/>
            <w:vAlign w:val="top"/>
          </w:tcPr>
          <w:p>
            <w:pPr>
              <w:spacing w:after="20" w:line="240" w:lineRule="auto"/>
            </w:pPr>
            <w:r>
              <w:rPr>
                <w:rFonts w:ascii="Arial" w:hAnsi="Arial"/>
                <w:b/>
                <w:color w:val="FFFFFF"/>
                <w:sz w:val="15"/>
              </w:rPr>
              <w:t>Horizon</w:t>
            </w:r>
          </w:p>
        </w:tc>
        <w:tc>
          <w:tcPr>
            <w:tcW w:type="dxa" w:w="936"/>
            <w:shd w:fill="1F4E79"/>
            <w:vAlign w:val="top"/>
          </w:tcPr>
          <w:p>
            <w:pPr>
              <w:spacing w:after="20" w:line="240" w:lineRule="auto"/>
            </w:pPr>
            <w:r>
              <w:rPr>
                <w:rFonts w:ascii="Arial" w:hAnsi="Arial"/>
                <w:b/>
                <w:color w:val="FFFFFF"/>
                <w:sz w:val="15"/>
              </w:rPr>
              <w:t>Win Rate</w:t>
            </w:r>
          </w:p>
        </w:tc>
        <w:tc>
          <w:tcPr>
            <w:tcW w:type="dxa" w:w="1008"/>
            <w:shd w:fill="1F4E79"/>
            <w:vAlign w:val="top"/>
          </w:tcPr>
          <w:p>
            <w:pPr>
              <w:spacing w:after="20" w:line="240" w:lineRule="auto"/>
            </w:pPr>
            <w:r>
              <w:rPr>
                <w:rFonts w:ascii="Arial" w:hAnsi="Arial"/>
                <w:b/>
                <w:color w:val="FFFFFF"/>
                <w:sz w:val="15"/>
              </w:rPr>
              <w:t>Median Up</w:t>
            </w:r>
          </w:p>
        </w:tc>
        <w:tc>
          <w:tcPr>
            <w:tcW w:type="dxa" w:w="1080"/>
            <w:shd w:fill="1F4E79"/>
            <w:vAlign w:val="top"/>
          </w:tcPr>
          <w:p>
            <w:pPr>
              <w:spacing w:after="20" w:line="240" w:lineRule="auto"/>
            </w:pPr>
            <w:r>
              <w:rPr>
                <w:rFonts w:ascii="Arial" w:hAnsi="Arial"/>
                <w:b/>
                <w:color w:val="FFFFFF"/>
                <w:sz w:val="15"/>
              </w:rPr>
              <w:t>Median Down</w:t>
            </w:r>
          </w:p>
        </w:tc>
        <w:tc>
          <w:tcPr>
            <w:tcW w:type="dxa" w:w="1224"/>
            <w:shd w:fill="1F4E79"/>
            <w:vAlign w:val="top"/>
          </w:tcPr>
          <w:p>
            <w:pPr>
              <w:spacing w:after="20" w:line="240" w:lineRule="auto"/>
            </w:pPr>
            <w:r>
              <w:rPr>
                <w:rFonts w:ascii="Arial" w:hAnsi="Arial"/>
                <w:b/>
                <w:color w:val="FFFFFF"/>
                <w:sz w:val="15"/>
              </w:rPr>
              <w:t>Expected Value</w:t>
            </w:r>
          </w:p>
        </w:tc>
        <w:tc>
          <w:tcPr>
            <w:tcW w:type="dxa" w:w="1008"/>
            <w:shd w:fill="1F4E79"/>
            <w:vAlign w:val="top"/>
          </w:tcPr>
          <w:p>
            <w:pPr>
              <w:spacing w:after="20" w:line="240" w:lineRule="auto"/>
            </w:pPr>
            <w:r>
              <w:rPr>
                <w:rFonts w:ascii="Arial" w:hAnsi="Arial"/>
                <w:b/>
                <w:color w:val="FFFFFF"/>
                <w:sz w:val="15"/>
              </w:rPr>
              <w:t>P10 Return</w:t>
            </w:r>
          </w:p>
        </w:tc>
        <w:tc>
          <w:tcPr>
            <w:tcW w:type="dxa" w:w="1008"/>
            <w:shd w:fill="1F4E79"/>
            <w:vAlign w:val="top"/>
          </w:tcPr>
          <w:p>
            <w:pPr>
              <w:spacing w:after="20" w:line="240" w:lineRule="auto"/>
            </w:pPr>
            <w:r>
              <w:rPr>
                <w:rFonts w:ascii="Arial" w:hAnsi="Arial"/>
                <w:b/>
                <w:color w:val="FFFFFF"/>
                <w:sz w:val="15"/>
              </w:rPr>
              <w:t>P90 Return</w:t>
            </w:r>
          </w:p>
        </w:tc>
        <w:tc>
          <w:tcPr>
            <w:tcW w:type="dxa" w:w="1152"/>
            <w:shd w:fill="1F4E79"/>
            <w:vAlign w:val="top"/>
          </w:tcPr>
          <w:p>
            <w:pPr>
              <w:spacing w:after="20" w:line="240" w:lineRule="auto"/>
            </w:pPr>
            <w:r>
              <w:rPr>
                <w:rFonts w:ascii="Arial" w:hAnsi="Arial"/>
                <w:b/>
                <w:color w:val="FFFFFF"/>
                <w:sz w:val="15"/>
              </w:rPr>
              <w:t>Worst Return</w:t>
            </w:r>
          </w:p>
        </w:tc>
      </w:tr>
      <w:tr>
        <w:tc>
          <w:tcPr>
            <w:tcW w:type="dxa" w:w="1224"/>
            <w:vAlign w:val="top"/>
          </w:tcPr>
          <w:p>
            <w:pPr>
              <w:spacing w:after="20" w:line="240" w:lineRule="auto"/>
            </w:pPr>
            <w:r>
              <w:rPr>
                <w:rFonts w:ascii="Arial" w:hAnsi="Arial"/>
                <w:b w:val="0"/>
                <w:color w:val="595959"/>
                <w:sz w:val="15"/>
              </w:rPr>
              <w:t>1M / 21D</w:t>
            </w:r>
          </w:p>
        </w:tc>
        <w:tc>
          <w:tcPr>
            <w:tcW w:type="dxa" w:w="936"/>
            <w:vAlign w:val="top"/>
          </w:tcPr>
          <w:p>
            <w:pPr>
              <w:spacing w:after="20" w:line="240" w:lineRule="auto"/>
            </w:pPr>
            <w:r>
              <w:rPr>
                <w:rFonts w:ascii="Arial" w:hAnsi="Arial"/>
                <w:b w:val="0"/>
                <w:color w:val="595959"/>
                <w:sz w:val="15"/>
              </w:rPr>
              <w:t>63.00</w:t>
            </w:r>
          </w:p>
        </w:tc>
        <w:tc>
          <w:tcPr>
            <w:tcW w:type="dxa" w:w="1008"/>
            <w:vAlign w:val="top"/>
          </w:tcPr>
          <w:p>
            <w:pPr>
              <w:spacing w:after="20" w:line="240" w:lineRule="auto"/>
            </w:pPr>
            <w:r>
              <w:rPr>
                <w:rFonts w:ascii="Arial" w:hAnsi="Arial"/>
                <w:b w:val="0"/>
                <w:color w:val="375623"/>
                <w:sz w:val="15"/>
              </w:rPr>
              <w:t>+1.92</w:t>
            </w:r>
          </w:p>
        </w:tc>
        <w:tc>
          <w:tcPr>
            <w:tcW w:type="dxa" w:w="1080"/>
            <w:vAlign w:val="top"/>
          </w:tcPr>
          <w:p>
            <w:pPr>
              <w:spacing w:after="20" w:line="240" w:lineRule="auto"/>
            </w:pPr>
            <w:r>
              <w:rPr>
                <w:rFonts w:ascii="Arial" w:hAnsi="Arial"/>
                <w:b w:val="0"/>
                <w:color w:val="C00000"/>
                <w:sz w:val="15"/>
              </w:rPr>
              <w:t>-2.68</w:t>
            </w:r>
          </w:p>
        </w:tc>
        <w:tc>
          <w:tcPr>
            <w:tcW w:type="dxa" w:w="1224"/>
            <w:vAlign w:val="top"/>
          </w:tcPr>
          <w:p>
            <w:pPr>
              <w:spacing w:after="20" w:line="240" w:lineRule="auto"/>
            </w:pPr>
            <w:r>
              <w:rPr>
                <w:rFonts w:ascii="Arial" w:hAnsi="Arial"/>
                <w:b w:val="0"/>
                <w:color w:val="375623"/>
                <w:sz w:val="15"/>
              </w:rPr>
              <w:t>+0.22</w:t>
            </w:r>
          </w:p>
        </w:tc>
        <w:tc>
          <w:tcPr>
            <w:tcW w:type="dxa" w:w="1008"/>
            <w:vAlign w:val="top"/>
          </w:tcPr>
          <w:p>
            <w:pPr>
              <w:spacing w:after="20" w:line="240" w:lineRule="auto"/>
            </w:pPr>
            <w:r>
              <w:rPr>
                <w:rFonts w:ascii="Arial" w:hAnsi="Arial"/>
                <w:b w:val="0"/>
                <w:color w:val="C00000"/>
                <w:sz w:val="15"/>
              </w:rPr>
              <w:t>-4.49</w:t>
            </w:r>
          </w:p>
        </w:tc>
        <w:tc>
          <w:tcPr>
            <w:tcW w:type="dxa" w:w="1008"/>
            <w:vAlign w:val="top"/>
          </w:tcPr>
          <w:p>
            <w:pPr>
              <w:spacing w:after="20" w:line="240" w:lineRule="auto"/>
            </w:pPr>
            <w:r>
              <w:rPr>
                <w:rFonts w:ascii="Arial" w:hAnsi="Arial"/>
                <w:b w:val="0"/>
                <w:color w:val="375623"/>
                <w:sz w:val="15"/>
              </w:rPr>
              <w:t>+4.49</w:t>
            </w:r>
          </w:p>
        </w:tc>
        <w:tc>
          <w:tcPr>
            <w:tcW w:type="dxa" w:w="1152"/>
            <w:vAlign w:val="top"/>
          </w:tcPr>
          <w:p>
            <w:pPr>
              <w:spacing w:after="20" w:line="240" w:lineRule="auto"/>
            </w:pPr>
            <w:r>
              <w:rPr>
                <w:rFonts w:ascii="Arial" w:hAnsi="Arial"/>
                <w:b w:val="0"/>
                <w:color w:val="C00000"/>
                <w:sz w:val="15"/>
              </w:rPr>
              <w:t>-9.24</w:t>
            </w:r>
          </w:p>
        </w:tc>
      </w:tr>
      <w:tr>
        <w:tc>
          <w:tcPr>
            <w:tcW w:type="dxa" w:w="1224"/>
            <w:shd w:fill="F7F9FC"/>
            <w:vAlign w:val="top"/>
          </w:tcPr>
          <w:p>
            <w:pPr>
              <w:spacing w:after="20" w:line="240" w:lineRule="auto"/>
            </w:pPr>
            <w:r>
              <w:rPr>
                <w:rFonts w:ascii="Arial" w:hAnsi="Arial"/>
                <w:b w:val="0"/>
                <w:color w:val="595959"/>
                <w:sz w:val="15"/>
              </w:rPr>
              <w:t>3M / 63D</w:t>
            </w:r>
          </w:p>
        </w:tc>
        <w:tc>
          <w:tcPr>
            <w:tcW w:type="dxa" w:w="936"/>
            <w:shd w:fill="F7F9FC"/>
            <w:vAlign w:val="top"/>
          </w:tcPr>
          <w:p>
            <w:pPr>
              <w:spacing w:after="20" w:line="240" w:lineRule="auto"/>
            </w:pPr>
            <w:r>
              <w:rPr>
                <w:rFonts w:ascii="Arial" w:hAnsi="Arial"/>
                <w:b w:val="0"/>
                <w:color w:val="595959"/>
                <w:sz w:val="15"/>
              </w:rPr>
              <w:t>66.00</w:t>
            </w:r>
          </w:p>
        </w:tc>
        <w:tc>
          <w:tcPr>
            <w:tcW w:type="dxa" w:w="1008"/>
            <w:shd w:fill="F7F9FC"/>
            <w:vAlign w:val="top"/>
          </w:tcPr>
          <w:p>
            <w:pPr>
              <w:spacing w:after="20" w:line="240" w:lineRule="auto"/>
            </w:pPr>
            <w:r>
              <w:rPr>
                <w:rFonts w:ascii="Arial" w:hAnsi="Arial"/>
                <w:b w:val="0"/>
                <w:color w:val="375623"/>
                <w:sz w:val="15"/>
              </w:rPr>
              <w:t>+4.69</w:t>
            </w:r>
          </w:p>
        </w:tc>
        <w:tc>
          <w:tcPr>
            <w:tcW w:type="dxa" w:w="1080"/>
            <w:shd w:fill="F7F9FC"/>
            <w:vAlign w:val="top"/>
          </w:tcPr>
          <w:p>
            <w:pPr>
              <w:spacing w:after="20" w:line="240" w:lineRule="auto"/>
            </w:pPr>
            <w:r>
              <w:rPr>
                <w:rFonts w:ascii="Arial" w:hAnsi="Arial"/>
                <w:b w:val="0"/>
                <w:color w:val="C00000"/>
                <w:sz w:val="15"/>
              </w:rPr>
              <w:t>-7.97</w:t>
            </w:r>
          </w:p>
        </w:tc>
        <w:tc>
          <w:tcPr>
            <w:tcW w:type="dxa" w:w="1224"/>
            <w:shd w:fill="F7F9FC"/>
            <w:vAlign w:val="top"/>
          </w:tcPr>
          <w:p>
            <w:pPr>
              <w:spacing w:after="20" w:line="240" w:lineRule="auto"/>
            </w:pPr>
            <w:r>
              <w:rPr>
                <w:rFonts w:ascii="Arial" w:hAnsi="Arial"/>
                <w:b w:val="0"/>
                <w:color w:val="375623"/>
                <w:sz w:val="15"/>
              </w:rPr>
              <w:t>+0.38</w:t>
            </w:r>
          </w:p>
        </w:tc>
        <w:tc>
          <w:tcPr>
            <w:tcW w:type="dxa" w:w="1008"/>
            <w:shd w:fill="F7F9FC"/>
            <w:vAlign w:val="top"/>
          </w:tcPr>
          <w:p>
            <w:pPr>
              <w:spacing w:after="20" w:line="240" w:lineRule="auto"/>
            </w:pPr>
            <w:r>
              <w:rPr>
                <w:rFonts w:ascii="Arial" w:hAnsi="Arial"/>
                <w:b w:val="0"/>
                <w:color w:val="C00000"/>
                <w:sz w:val="15"/>
              </w:rPr>
              <w:t>-11.61</w:t>
            </w:r>
          </w:p>
        </w:tc>
        <w:tc>
          <w:tcPr>
            <w:tcW w:type="dxa" w:w="1008"/>
            <w:shd w:fill="F7F9FC"/>
            <w:vAlign w:val="top"/>
          </w:tcPr>
          <w:p>
            <w:pPr>
              <w:spacing w:after="20" w:line="240" w:lineRule="auto"/>
            </w:pPr>
            <w:r>
              <w:rPr>
                <w:rFonts w:ascii="Arial" w:hAnsi="Arial"/>
                <w:b w:val="0"/>
                <w:color w:val="375623"/>
                <w:sz w:val="15"/>
              </w:rPr>
              <w:t>+7.32</w:t>
            </w:r>
          </w:p>
        </w:tc>
        <w:tc>
          <w:tcPr>
            <w:tcW w:type="dxa" w:w="1152"/>
            <w:shd w:fill="F7F9FC"/>
            <w:vAlign w:val="top"/>
          </w:tcPr>
          <w:p>
            <w:pPr>
              <w:spacing w:after="20" w:line="240" w:lineRule="auto"/>
            </w:pPr>
            <w:r>
              <w:rPr>
                <w:rFonts w:ascii="Arial" w:hAnsi="Arial"/>
                <w:b w:val="0"/>
                <w:color w:val="C00000"/>
                <w:sz w:val="15"/>
              </w:rPr>
              <w:t>-16.24</w:t>
            </w:r>
          </w:p>
        </w:tc>
      </w:tr>
      <w:tr>
        <w:tc>
          <w:tcPr>
            <w:tcW w:type="dxa" w:w="1224"/>
            <w:vAlign w:val="top"/>
          </w:tcPr>
          <w:p>
            <w:pPr>
              <w:spacing w:after="20" w:line="240" w:lineRule="auto"/>
            </w:pPr>
            <w:r>
              <w:rPr>
                <w:rFonts w:ascii="Arial" w:hAnsi="Arial"/>
                <w:b w:val="0"/>
                <w:color w:val="595959"/>
                <w:sz w:val="15"/>
              </w:rPr>
              <w:t>6M / 126D</w:t>
            </w:r>
          </w:p>
        </w:tc>
        <w:tc>
          <w:tcPr>
            <w:tcW w:type="dxa" w:w="936"/>
            <w:vAlign w:val="top"/>
          </w:tcPr>
          <w:p>
            <w:pPr>
              <w:spacing w:after="20" w:line="240" w:lineRule="auto"/>
            </w:pPr>
            <w:r>
              <w:rPr>
                <w:rFonts w:ascii="Arial" w:hAnsi="Arial"/>
                <w:b w:val="0"/>
                <w:color w:val="595959"/>
                <w:sz w:val="15"/>
              </w:rPr>
              <w:t>65.90</w:t>
            </w:r>
          </w:p>
        </w:tc>
        <w:tc>
          <w:tcPr>
            <w:tcW w:type="dxa" w:w="1008"/>
            <w:vAlign w:val="top"/>
          </w:tcPr>
          <w:p>
            <w:pPr>
              <w:spacing w:after="20" w:line="240" w:lineRule="auto"/>
            </w:pPr>
            <w:r>
              <w:rPr>
                <w:rFonts w:ascii="Arial" w:hAnsi="Arial"/>
                <w:b w:val="0"/>
                <w:color w:val="375623"/>
                <w:sz w:val="15"/>
              </w:rPr>
              <w:t>+5.76</w:t>
            </w:r>
          </w:p>
        </w:tc>
        <w:tc>
          <w:tcPr>
            <w:tcW w:type="dxa" w:w="1080"/>
            <w:vAlign w:val="top"/>
          </w:tcPr>
          <w:p>
            <w:pPr>
              <w:spacing w:after="20" w:line="240" w:lineRule="auto"/>
            </w:pPr>
            <w:r>
              <w:rPr>
                <w:rFonts w:ascii="Arial" w:hAnsi="Arial"/>
                <w:b w:val="0"/>
                <w:color w:val="C00000"/>
                <w:sz w:val="15"/>
              </w:rPr>
              <w:t>-1.64</w:t>
            </w:r>
          </w:p>
        </w:tc>
        <w:tc>
          <w:tcPr>
            <w:tcW w:type="dxa" w:w="1224"/>
            <w:vAlign w:val="top"/>
          </w:tcPr>
          <w:p>
            <w:pPr>
              <w:spacing w:after="20" w:line="240" w:lineRule="auto"/>
            </w:pPr>
            <w:r>
              <w:rPr>
                <w:rFonts w:ascii="Arial" w:hAnsi="Arial"/>
                <w:b w:val="0"/>
                <w:color w:val="375623"/>
                <w:sz w:val="15"/>
              </w:rPr>
              <w:t>+3.24</w:t>
            </w:r>
          </w:p>
        </w:tc>
        <w:tc>
          <w:tcPr>
            <w:tcW w:type="dxa" w:w="1008"/>
            <w:vAlign w:val="top"/>
          </w:tcPr>
          <w:p>
            <w:pPr>
              <w:spacing w:after="20" w:line="240" w:lineRule="auto"/>
            </w:pPr>
            <w:r>
              <w:rPr>
                <w:rFonts w:ascii="Arial" w:hAnsi="Arial"/>
                <w:b w:val="0"/>
                <w:color w:val="C00000"/>
                <w:sz w:val="15"/>
              </w:rPr>
              <w:t>-2.39</w:t>
            </w:r>
          </w:p>
        </w:tc>
        <w:tc>
          <w:tcPr>
            <w:tcW w:type="dxa" w:w="1008"/>
            <w:vAlign w:val="top"/>
          </w:tcPr>
          <w:p>
            <w:pPr>
              <w:spacing w:after="20" w:line="240" w:lineRule="auto"/>
            </w:pPr>
            <w:r>
              <w:rPr>
                <w:rFonts w:ascii="Arial" w:hAnsi="Arial"/>
                <w:b w:val="0"/>
                <w:color w:val="375623"/>
                <w:sz w:val="15"/>
              </w:rPr>
              <w:t>+9.67</w:t>
            </w:r>
          </w:p>
        </w:tc>
        <w:tc>
          <w:tcPr>
            <w:tcW w:type="dxa" w:w="1152"/>
            <w:vAlign w:val="top"/>
          </w:tcPr>
          <w:p>
            <w:pPr>
              <w:spacing w:after="20" w:line="240" w:lineRule="auto"/>
            </w:pPr>
            <w:r>
              <w:rPr>
                <w:rFonts w:ascii="Arial" w:hAnsi="Arial"/>
                <w:b w:val="0"/>
                <w:color w:val="C00000"/>
                <w:sz w:val="15"/>
              </w:rPr>
              <w:t>-5.76</w:t>
            </w:r>
          </w:p>
        </w:tc>
      </w:tr>
      <w:tr>
        <w:tc>
          <w:tcPr>
            <w:tcW w:type="dxa" w:w="1224"/>
            <w:shd w:fill="F7F9FC"/>
            <w:vAlign w:val="top"/>
          </w:tcPr>
          <w:p>
            <w:pPr>
              <w:spacing w:after="20" w:line="240" w:lineRule="auto"/>
            </w:pPr>
            <w:r>
              <w:rPr>
                <w:rFonts w:ascii="Arial" w:hAnsi="Arial"/>
                <w:b w:val="0"/>
                <w:color w:val="595959"/>
                <w:sz w:val="15"/>
              </w:rPr>
              <w:t>1Y / 252D</w:t>
            </w:r>
          </w:p>
        </w:tc>
        <w:tc>
          <w:tcPr>
            <w:tcW w:type="dxa" w:w="936"/>
            <w:shd w:fill="F7F9FC"/>
            <w:vAlign w:val="top"/>
          </w:tcPr>
          <w:p>
            <w:pPr>
              <w:spacing w:after="20" w:line="240" w:lineRule="auto"/>
            </w:pPr>
            <w:r>
              <w:rPr>
                <w:rFonts w:ascii="Arial" w:hAnsi="Arial"/>
                <w:b w:val="0"/>
                <w:color w:val="595959"/>
                <w:sz w:val="15"/>
              </w:rPr>
              <w:t>87.10</w:t>
            </w:r>
          </w:p>
        </w:tc>
        <w:tc>
          <w:tcPr>
            <w:tcW w:type="dxa" w:w="1008"/>
            <w:shd w:fill="F7F9FC"/>
            <w:vAlign w:val="top"/>
          </w:tcPr>
          <w:p>
            <w:pPr>
              <w:spacing w:after="20" w:line="240" w:lineRule="auto"/>
            </w:pPr>
            <w:r>
              <w:rPr>
                <w:rFonts w:ascii="Arial" w:hAnsi="Arial"/>
                <w:b w:val="0"/>
                <w:color w:val="375623"/>
                <w:sz w:val="15"/>
              </w:rPr>
              <w:t>+12.55</w:t>
            </w:r>
          </w:p>
        </w:tc>
        <w:tc>
          <w:tcPr>
            <w:tcW w:type="dxa" w:w="1080"/>
            <w:shd w:fill="F7F9FC"/>
            <w:vAlign w:val="top"/>
          </w:tcPr>
          <w:p>
            <w:pPr>
              <w:spacing w:after="20" w:line="240" w:lineRule="auto"/>
            </w:pPr>
            <w:r>
              <w:rPr>
                <w:rFonts w:ascii="Arial" w:hAnsi="Arial"/>
                <w:b w:val="0"/>
                <w:color w:val="C00000"/>
                <w:sz w:val="15"/>
              </w:rPr>
              <w:t>-6.65</w:t>
            </w:r>
          </w:p>
        </w:tc>
        <w:tc>
          <w:tcPr>
            <w:tcW w:type="dxa" w:w="1224"/>
            <w:shd w:fill="F7F9FC"/>
            <w:vAlign w:val="top"/>
          </w:tcPr>
          <w:p>
            <w:pPr>
              <w:spacing w:after="20" w:line="240" w:lineRule="auto"/>
            </w:pPr>
            <w:r>
              <w:rPr>
                <w:rFonts w:ascii="Arial" w:hAnsi="Arial"/>
                <w:b w:val="0"/>
                <w:color w:val="375623"/>
                <w:sz w:val="15"/>
              </w:rPr>
              <w:t>+10.08</w:t>
            </w:r>
          </w:p>
        </w:tc>
        <w:tc>
          <w:tcPr>
            <w:tcW w:type="dxa" w:w="1008"/>
            <w:shd w:fill="F7F9FC"/>
            <w:vAlign w:val="top"/>
          </w:tcPr>
          <w:p>
            <w:pPr>
              <w:spacing w:after="20" w:line="240" w:lineRule="auto"/>
            </w:pPr>
            <w:r>
              <w:rPr>
                <w:rFonts w:ascii="Arial" w:hAnsi="Arial"/>
                <w:b w:val="0"/>
                <w:color w:val="C00000"/>
                <w:sz w:val="15"/>
              </w:rPr>
              <w:t>-2.99</w:t>
            </w:r>
          </w:p>
        </w:tc>
        <w:tc>
          <w:tcPr>
            <w:tcW w:type="dxa" w:w="1008"/>
            <w:shd w:fill="F7F9FC"/>
            <w:vAlign w:val="top"/>
          </w:tcPr>
          <w:p>
            <w:pPr>
              <w:spacing w:after="20" w:line="240" w:lineRule="auto"/>
            </w:pPr>
            <w:r>
              <w:rPr>
                <w:rFonts w:ascii="Arial" w:hAnsi="Arial"/>
                <w:b w:val="0"/>
                <w:color w:val="375623"/>
                <w:sz w:val="15"/>
              </w:rPr>
              <w:t>+23.83</w:t>
            </w:r>
          </w:p>
        </w:tc>
        <w:tc>
          <w:tcPr>
            <w:tcW w:type="dxa" w:w="1152"/>
            <w:shd w:fill="F7F9FC"/>
            <w:vAlign w:val="top"/>
          </w:tcPr>
          <w:p>
            <w:pPr>
              <w:spacing w:after="20" w:line="240" w:lineRule="auto"/>
            </w:pPr>
            <w:r>
              <w:rPr>
                <w:rFonts w:ascii="Arial" w:hAnsi="Arial"/>
                <w:b w:val="0"/>
                <w:color w:val="C00000"/>
                <w:sz w:val="15"/>
              </w:rPr>
              <w:t>-6.97</w:t>
            </w:r>
          </w:p>
        </w:tc>
      </w:tr>
    </w:tbl>
    <w:p>
      <w:pPr>
        <w:spacing w:after="120"/>
      </w:pPr>
    </w:p>
    <w:p>
      <w:r>
        <w:drawing>
          <wp:inline xmlns:a="http://schemas.openxmlformats.org/drawingml/2006/main" xmlns:pic="http://schemas.openxmlformats.org/drawingml/2006/picture">
            <wp:extent cx="5852160" cy="2426506"/>
            <wp:docPr id="5" name="Picture 5"/>
            <wp:cNvGraphicFramePr>
              <a:graphicFrameLocks noChangeAspect="1"/>
            </wp:cNvGraphicFramePr>
            <a:graphic>
              <a:graphicData uri="http://schemas.openxmlformats.org/drawingml/2006/picture">
                <pic:pic>
                  <pic:nvPicPr>
                    <pic:cNvPr id="0" name="historical_risk_profile.png"/>
                    <pic:cNvPicPr/>
                  </pic:nvPicPr>
                  <pic:blipFill>
                    <a:blip r:embed="rId12"/>
                    <a:stretch>
                      <a:fillRect/>
                    </a:stretch>
                  </pic:blipFill>
                  <pic:spPr>
                    <a:xfrm>
                      <a:off x="0" y="0"/>
                      <a:ext cx="5852160" cy="2426506"/>
                    </a:xfrm>
                    <a:prstGeom prst="rect"/>
                  </pic:spPr>
                </pic:pic>
              </a:graphicData>
            </a:graphic>
          </wp:inline>
        </w:drawing>
      </w:r>
    </w:p>
    <w:p>
      <w:pPr>
        <w:spacing w:after="80"/>
      </w:pPr>
    </w:p>
    <w:p>
      <w:pPr>
        <w:spacing w:before="180" w:after="80"/>
      </w:pPr>
      <w:r>
        <w:rPr>
          <w:rFonts w:ascii="Arial" w:hAnsi="Arial"/>
          <w:b/>
          <w:color w:val="2E75B6"/>
          <w:sz w:val="21"/>
        </w:rPr>
        <w:t>Historical Tactical Risk Snapshot</w:t>
      </w:r>
    </w:p>
    <w:tbl>
      <w:tblPr>
        <w:tblStyle w:val="TableGrid"/>
        <w:tblW w:type="auto" w:w="0"/>
        <w:jc w:val="center"/>
        <w:tblLayout w:type="autofit"/>
        <w:tblLook w:firstColumn="1" w:firstRow="1" w:lastColumn="0" w:lastRow="0" w:noHBand="0" w:noVBand="1" w:val="04A0"/>
      </w:tblPr>
      <w:tblGrid>
        <w:gridCol w:w="6984"/>
        <w:gridCol w:w="6984"/>
      </w:tblGrid>
      <w:tr>
        <w:trPr>
          <w:tblHeader w:val="true"/>
        </w:trPr>
        <w:tc>
          <w:tcPr>
            <w:tcW w:type="dxa" w:w="6984"/>
            <w:shd w:fill="1F4E79"/>
            <w:vAlign w:val="top"/>
          </w:tcPr>
          <w:p>
            <w:pPr>
              <w:spacing w:after="20" w:line="240" w:lineRule="auto"/>
            </w:pPr>
            <w:r>
              <w:rPr>
                <w:rFonts w:ascii="Arial" w:hAnsi="Arial"/>
                <w:b/>
                <w:color w:val="FFFFFF"/>
                <w:sz w:val="15"/>
              </w:rPr>
              <w:t>Metric</w:t>
            </w:r>
          </w:p>
        </w:tc>
        <w:tc>
          <w:tcPr>
            <w:tcW w:type="dxa" w:w="6984"/>
            <w:shd w:fill="1F4E79"/>
            <w:vAlign w:val="top"/>
          </w:tcPr>
          <w:p>
            <w:pPr>
              <w:spacing w:after="20" w:line="240" w:lineRule="auto"/>
            </w:pPr>
            <w:r>
              <w:rPr>
                <w:rFonts w:ascii="Arial" w:hAnsi="Arial"/>
                <w:b/>
                <w:color w:val="FFFFFF"/>
                <w:sz w:val="15"/>
              </w:rPr>
              <w:t>Value</w:t>
            </w:r>
          </w:p>
        </w:tc>
      </w:tr>
      <w:tr>
        <w:tc>
          <w:tcPr>
            <w:tcW w:type="dxa" w:w="6984"/>
            <w:vAlign w:val="top"/>
          </w:tcPr>
          <w:p>
            <w:pPr>
              <w:spacing w:after="20" w:line="240" w:lineRule="auto"/>
            </w:pPr>
            <w:r>
              <w:rPr>
                <w:rFonts w:ascii="Arial" w:hAnsi="Arial"/>
                <w:b w:val="0"/>
                <w:color w:val="595959"/>
                <w:sz w:val="15"/>
              </w:rPr>
              <w:t>Median 5D drawdown</w:t>
            </w:r>
          </w:p>
        </w:tc>
        <w:tc>
          <w:tcPr>
            <w:tcW w:type="dxa" w:w="6984"/>
            <w:vAlign w:val="top"/>
          </w:tcPr>
          <w:p>
            <w:pPr>
              <w:spacing w:after="20" w:line="240" w:lineRule="auto"/>
            </w:pPr>
            <w:r>
              <w:rPr>
                <w:rFonts w:ascii="Arial" w:hAnsi="Arial"/>
                <w:b w:val="0"/>
                <w:color w:val="C00000"/>
                <w:sz w:val="15"/>
              </w:rPr>
              <w:t>-0.87</w:t>
            </w:r>
          </w:p>
        </w:tc>
      </w:tr>
      <w:tr>
        <w:tc>
          <w:tcPr>
            <w:tcW w:type="dxa" w:w="6984"/>
            <w:shd w:fill="F7F9FC"/>
            <w:vAlign w:val="top"/>
          </w:tcPr>
          <w:p>
            <w:pPr>
              <w:spacing w:after="20" w:line="240" w:lineRule="auto"/>
            </w:pPr>
            <w:r>
              <w:rPr>
                <w:rFonts w:ascii="Arial" w:hAnsi="Arial"/>
                <w:b w:val="0"/>
                <w:color w:val="595959"/>
                <w:sz w:val="15"/>
              </w:rPr>
              <w:t>Median 5D upside</w:t>
            </w:r>
          </w:p>
        </w:tc>
        <w:tc>
          <w:tcPr>
            <w:tcW w:type="dxa" w:w="6984"/>
            <w:shd w:fill="F7F9FC"/>
            <w:vAlign w:val="top"/>
          </w:tcPr>
          <w:p>
            <w:pPr>
              <w:spacing w:after="20" w:line="240" w:lineRule="auto"/>
            </w:pPr>
            <w:r>
              <w:rPr>
                <w:rFonts w:ascii="Arial" w:hAnsi="Arial"/>
                <w:b w:val="0"/>
                <w:color w:val="375623"/>
                <w:sz w:val="15"/>
              </w:rPr>
              <w:t>+0.71</w:t>
            </w:r>
          </w:p>
        </w:tc>
      </w:tr>
      <w:tr>
        <w:tc>
          <w:tcPr>
            <w:tcW w:type="dxa" w:w="6984"/>
            <w:vAlign w:val="top"/>
          </w:tcPr>
          <w:p>
            <w:pPr>
              <w:spacing w:after="20" w:line="240" w:lineRule="auto"/>
            </w:pPr>
            <w:r>
              <w:rPr>
                <w:rFonts w:ascii="Arial" w:hAnsi="Arial"/>
                <w:b w:val="0"/>
                <w:color w:val="595959"/>
                <w:sz w:val="15"/>
              </w:rPr>
              <w:t>Reward/risk ratio</w:t>
            </w:r>
          </w:p>
        </w:tc>
        <w:tc>
          <w:tcPr>
            <w:tcW w:type="dxa" w:w="6984"/>
            <w:vAlign w:val="top"/>
          </w:tcPr>
          <w:p>
            <w:pPr>
              <w:spacing w:after="20" w:line="240" w:lineRule="auto"/>
            </w:pPr>
            <w:r>
              <w:rPr>
                <w:rFonts w:ascii="Arial" w:hAnsi="Arial"/>
                <w:b w:val="0"/>
                <w:color w:val="375623"/>
                <w:sz w:val="15"/>
              </w:rPr>
              <w:t>+0.82</w:t>
            </w:r>
          </w:p>
        </w:tc>
      </w:tr>
    </w:tbl>
    <w:p>
      <w:pPr>
        <w:spacing w:after="120"/>
      </w:pPr>
    </w:p>
    <w:p>
      <w:pPr>
        <w:spacing w:before="180" w:after="80"/>
      </w:pPr>
      <w:r>
        <w:rPr>
          <w:rFonts w:ascii="Arial" w:hAnsi="Arial"/>
          <w:b/>
          <w:color w:val="2E75B6"/>
          <w:sz w:val="21"/>
        </w:rPr>
        <w:t>Top Analogue Dates</w:t>
      </w:r>
    </w:p>
    <w:tbl>
      <w:tblPr>
        <w:tblStyle w:val="TableGrid"/>
        <w:tblW w:type="auto" w:w="0"/>
        <w:jc w:val="center"/>
        <w:tblLayout w:type="fixed"/>
        <w:tblLook w:firstColumn="1" w:firstRow="1" w:lastColumn="0" w:lastRow="0" w:noHBand="0" w:noVBand="1" w:val="04A0"/>
      </w:tblPr>
      <w:tblGrid>
        <w:gridCol w:w="931"/>
        <w:gridCol w:w="931"/>
        <w:gridCol w:w="931"/>
        <w:gridCol w:w="931"/>
        <w:gridCol w:w="931"/>
        <w:gridCol w:w="931"/>
        <w:gridCol w:w="931"/>
        <w:gridCol w:w="931"/>
        <w:gridCol w:w="931"/>
        <w:gridCol w:w="931"/>
        <w:gridCol w:w="931"/>
        <w:gridCol w:w="931"/>
        <w:gridCol w:w="931"/>
        <w:gridCol w:w="931"/>
        <w:gridCol w:w="931"/>
      </w:tblGrid>
      <w:tr>
        <w:trPr>
          <w:tblHeader w:val="true"/>
        </w:trPr>
        <w:tc>
          <w:tcPr>
            <w:tcW w:type="dxa" w:w="936"/>
            <w:shd w:fill="1F4E79"/>
            <w:vAlign w:val="top"/>
          </w:tcPr>
          <w:p>
            <w:pPr>
              <w:spacing w:after="20" w:line="240" w:lineRule="auto"/>
            </w:pPr>
            <w:r>
              <w:rPr>
                <w:rFonts w:ascii="Arial" w:hAnsi="Arial"/>
                <w:b/>
                <w:color w:val="FFFFFF"/>
                <w:sz w:val="15"/>
              </w:rPr>
              <w:t>Date</w:t>
            </w:r>
          </w:p>
        </w:tc>
        <w:tc>
          <w:tcPr>
            <w:tcW w:type="dxa" w:w="648"/>
            <w:shd w:fill="1F4E79"/>
            <w:vAlign w:val="top"/>
          </w:tcPr>
          <w:p>
            <w:pPr>
              <w:spacing w:after="20" w:line="240" w:lineRule="auto"/>
            </w:pPr>
            <w:r>
              <w:rPr>
                <w:rFonts w:ascii="Arial" w:hAnsi="Arial"/>
                <w:b/>
                <w:color w:val="FFFFFF"/>
                <w:sz w:val="15"/>
              </w:rPr>
              <w:t>Weight</w:t>
            </w:r>
          </w:p>
        </w:tc>
        <w:tc>
          <w:tcPr>
            <w:tcW w:type="dxa" w:w="792"/>
            <w:shd w:fill="1F4E79"/>
            <w:vAlign w:val="top"/>
          </w:tcPr>
          <w:p>
            <w:pPr>
              <w:spacing w:after="20" w:line="240" w:lineRule="auto"/>
            </w:pPr>
            <w:r>
              <w:rPr>
                <w:rFonts w:ascii="Arial" w:hAnsi="Arial"/>
                <w:b/>
                <w:color w:val="FFFFFF"/>
                <w:sz w:val="15"/>
              </w:rPr>
              <w:t>Env</w:t>
            </w:r>
          </w:p>
        </w:tc>
        <w:tc>
          <w:tcPr>
            <w:tcW w:type="dxa" w:w="648"/>
            <w:shd w:fill="1F4E79"/>
            <w:vAlign w:val="top"/>
          </w:tcPr>
          <w:p>
            <w:pPr>
              <w:spacing w:after="20" w:line="240" w:lineRule="auto"/>
            </w:pPr>
            <w:r>
              <w:rPr>
                <w:rFonts w:ascii="Arial" w:hAnsi="Arial"/>
                <w:b/>
                <w:color w:val="FFFFFF"/>
                <w:sz w:val="15"/>
              </w:rPr>
              <w:t>Score</w:t>
            </w:r>
          </w:p>
        </w:tc>
        <w:tc>
          <w:tcPr>
            <w:tcW w:type="dxa" w:w="648"/>
            <w:shd w:fill="1F4E79"/>
            <w:vAlign w:val="top"/>
          </w:tcPr>
          <w:p>
            <w:pPr>
              <w:spacing w:after="20" w:line="240" w:lineRule="auto"/>
            </w:pPr>
            <w:r>
              <w:rPr>
                <w:rFonts w:ascii="Arial" w:hAnsi="Arial"/>
                <w:b/>
                <w:color w:val="FFFFFF"/>
                <w:sz w:val="15"/>
              </w:rPr>
              <w:t>VIX</w:t>
            </w:r>
          </w:p>
        </w:tc>
        <w:tc>
          <w:tcPr>
            <w:tcW w:type="dxa" w:w="648"/>
            <w:shd w:fill="1F4E79"/>
            <w:vAlign w:val="top"/>
          </w:tcPr>
          <w:p>
            <w:pPr>
              <w:spacing w:after="20" w:line="240" w:lineRule="auto"/>
            </w:pPr>
            <w:r>
              <w:rPr>
                <w:rFonts w:ascii="Arial" w:hAnsi="Arial"/>
                <w:b/>
                <w:color w:val="FFFFFF"/>
                <w:sz w:val="15"/>
              </w:rPr>
              <w:t>Breadth</w:t>
            </w:r>
          </w:p>
        </w:tc>
        <w:tc>
          <w:tcPr>
            <w:tcW w:type="dxa" w:w="720"/>
            <w:shd w:fill="1F4E79"/>
            <w:vAlign w:val="top"/>
          </w:tcPr>
          <w:p>
            <w:pPr>
              <w:spacing w:after="20" w:line="240" w:lineRule="auto"/>
            </w:pPr>
            <w:r>
              <w:rPr>
                <w:rFonts w:ascii="Arial" w:hAnsi="Arial"/>
                <w:b/>
                <w:color w:val="FFFFFF"/>
                <w:sz w:val="15"/>
              </w:rPr>
              <w:t>63D Fwd</w:t>
            </w:r>
          </w:p>
        </w:tc>
        <w:tc>
          <w:tcPr>
            <w:tcW w:type="dxa" w:w="720"/>
            <w:shd w:fill="1F4E79"/>
            <w:vAlign w:val="top"/>
          </w:tcPr>
          <w:p>
            <w:pPr>
              <w:spacing w:after="20" w:line="240" w:lineRule="auto"/>
            </w:pPr>
            <w:r>
              <w:rPr>
                <w:rFonts w:ascii="Arial" w:hAnsi="Arial"/>
                <w:b/>
                <w:color w:val="FFFFFF"/>
                <w:sz w:val="15"/>
              </w:rPr>
              <w:t>21D Fwd</w:t>
            </w:r>
          </w:p>
        </w:tc>
        <w:tc>
          <w:tcPr>
            <w:tcW w:type="dxa" w:w="1512"/>
            <w:shd w:fill="1F4E79"/>
            <w:vAlign w:val="top"/>
          </w:tcPr>
          <w:p>
            <w:pPr>
              <w:spacing w:after="20" w:line="240" w:lineRule="auto"/>
            </w:pPr>
            <w:r>
              <w:rPr>
                <w:rFonts w:ascii="Arial" w:hAnsi="Arial"/>
                <w:b/>
                <w:color w:val="FFFFFF"/>
                <w:sz w:val="15"/>
              </w:rPr>
              <w:t>Scenario</w:t>
            </w:r>
          </w:p>
        </w:tc>
        <w:tc>
          <w:tcPr>
            <w:tcW w:type="dxa" w:w="1224"/>
            <w:shd w:fill="1F4E79"/>
            <w:vAlign w:val="top"/>
          </w:tcPr>
          <w:p>
            <w:pPr>
              <w:spacing w:after="20" w:line="240" w:lineRule="auto"/>
            </w:pPr>
            <w:r>
              <w:rPr>
                <w:rFonts w:ascii="Arial" w:hAnsi="Arial"/>
                <w:b/>
                <w:color w:val="FFFFFF"/>
                <w:sz w:val="15"/>
              </w:rPr>
              <w:t>Map Tag</w:t>
            </w:r>
          </w:p>
        </w:tc>
        <w:tc>
          <w:tcPr>
            <w:tcW w:type="dxa" w:w="648"/>
            <w:shd w:fill="1F4E79"/>
            <w:vAlign w:val="top"/>
          </w:tcPr>
          <w:p>
            <w:pPr>
              <w:spacing w:after="20" w:line="240" w:lineRule="auto"/>
            </w:pPr>
            <w:r>
              <w:rPr>
                <w:rFonts w:ascii="Arial" w:hAnsi="Arial"/>
                <w:b/>
                <w:color w:val="FFFFFF"/>
                <w:sz w:val="15"/>
              </w:rPr>
              <w:t>V1</w:t>
            </w:r>
          </w:p>
        </w:tc>
        <w:tc>
          <w:tcPr>
            <w:tcW w:type="dxa" w:w="648"/>
            <w:shd w:fill="1F4E79"/>
            <w:vAlign w:val="top"/>
          </w:tcPr>
          <w:p>
            <w:pPr>
              <w:spacing w:after="20" w:line="240" w:lineRule="auto"/>
            </w:pPr>
            <w:r>
              <w:rPr>
                <w:rFonts w:ascii="Arial" w:hAnsi="Arial"/>
                <w:b/>
                <w:color w:val="FFFFFF"/>
                <w:sz w:val="15"/>
              </w:rPr>
              <w:t>V2</w:t>
            </w:r>
          </w:p>
        </w:tc>
        <w:tc>
          <w:tcPr>
            <w:tcW w:type="dxa" w:w="648"/>
            <w:shd w:fill="1F4E79"/>
            <w:vAlign w:val="top"/>
          </w:tcPr>
          <w:p>
            <w:pPr>
              <w:spacing w:after="20" w:line="240" w:lineRule="auto"/>
            </w:pPr>
            <w:r>
              <w:rPr>
                <w:rFonts w:ascii="Arial" w:hAnsi="Arial"/>
                <w:b/>
                <w:color w:val="FFFFFF"/>
                <w:sz w:val="15"/>
              </w:rPr>
              <w:t>Blend</w:t>
            </w:r>
          </w:p>
        </w:tc>
        <w:tc>
          <w:tcPr>
            <w:tcW w:type="dxa" w:w="1728"/>
            <w:shd w:fill="1F4E79"/>
            <w:vAlign w:val="top"/>
          </w:tcPr>
          <w:p>
            <w:pPr>
              <w:spacing w:after="20" w:line="240" w:lineRule="auto"/>
            </w:pPr>
            <w:r>
              <w:rPr>
                <w:rFonts w:ascii="Arial" w:hAnsi="Arial"/>
                <w:b/>
                <w:color w:val="FFFFFF"/>
                <w:sz w:val="15"/>
              </w:rPr>
              <w:t>Strong Groups</w:t>
            </w:r>
          </w:p>
        </w:tc>
        <w:tc>
          <w:tcPr>
            <w:tcW w:type="dxa" w:w="1728"/>
            <w:shd w:fill="1F4E79"/>
            <w:vAlign w:val="top"/>
          </w:tcPr>
          <w:p>
            <w:pPr>
              <w:spacing w:after="20" w:line="240" w:lineRule="auto"/>
            </w:pPr>
            <w:r>
              <w:rPr>
                <w:rFonts w:ascii="Arial" w:hAnsi="Arial"/>
                <w:b/>
                <w:color w:val="FFFFFF"/>
                <w:sz w:val="15"/>
              </w:rPr>
              <w:t>Weak Groups</w:t>
            </w:r>
          </w:p>
        </w:tc>
      </w:tr>
      <w:tr>
        <w:tc>
          <w:tcPr>
            <w:tcW w:type="dxa" w:w="936"/>
            <w:vAlign w:val="top"/>
          </w:tcPr>
          <w:p>
            <w:pPr>
              <w:spacing w:after="20" w:line="240" w:lineRule="auto"/>
            </w:pPr>
            <w:r>
              <w:rPr>
                <w:rFonts w:ascii="Arial" w:hAnsi="Arial"/>
                <w:b w:val="0"/>
                <w:color w:val="595959"/>
                <w:sz w:val="15"/>
              </w:rPr>
              <w:t>09/23/25</w:t>
            </w:r>
          </w:p>
        </w:tc>
        <w:tc>
          <w:tcPr>
            <w:tcW w:type="dxa" w:w="648"/>
            <w:vAlign w:val="top"/>
          </w:tcPr>
          <w:p>
            <w:pPr>
              <w:spacing w:after="20" w:line="240" w:lineRule="auto"/>
            </w:pPr>
            <w:r>
              <w:rPr>
                <w:rFonts w:ascii="Arial" w:hAnsi="Arial"/>
                <w:b w:val="0"/>
                <w:color w:val="375623"/>
                <w:sz w:val="15"/>
              </w:rPr>
              <w:t>+3.08</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+56.10</w:t>
            </w:r>
          </w:p>
        </w:tc>
        <w:tc>
          <w:tcPr>
            <w:tcW w:type="dxa" w:w="648"/>
            <w:vAlign w:val="top"/>
          </w:tcPr>
          <w:p>
            <w:pPr>
              <w:spacing w:after="20" w:line="240" w:lineRule="auto"/>
            </w:pPr>
            <w:r>
              <w:rPr>
                <w:rFonts w:ascii="Arial" w:hAnsi="Arial"/>
                <w:b w:val="0"/>
                <w:color w:val="375623"/>
                <w:sz w:val="15"/>
              </w:rPr>
              <w:t>+16.60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375623"/>
                <w:sz w:val="15"/>
              </w:rPr>
              <w:t>+3.26</w:t>
            </w:r>
          </w:p>
        </w:tc>
        <w:tc>
          <w:tcPr>
            <w:tcW w:type="dxa" w:w="720"/>
            <w:vAlign w:val="top"/>
          </w:tcPr>
          <w:p>
            <w:pPr>
              <w:spacing w:after="20" w:line="240" w:lineRule="auto"/>
            </w:pPr>
            <w:r>
              <w:rPr>
                <w:rFonts w:ascii="Arial" w:hAnsi="Arial"/>
                <w:b w:val="0"/>
                <w:color w:val="375623"/>
                <w:sz w:val="15"/>
              </w:rPr>
              <w:t>+0.69</w:t>
            </w:r>
          </w:p>
        </w:tc>
        <w:tc>
          <w:tcPr>
            <w:tcW w:type="dxa" w:w="1512"/>
            <w:vAlign w:val="top"/>
          </w:tcPr>
          <w:p>
            <w:pPr>
              <w:spacing w:after="20" w:line="240" w:lineRule="auto"/>
            </w:pPr>
            <w:r>
              <w:rPr>
                <w:rFonts w:ascii="Arial" w:hAnsi="Arial"/>
                <w:b w:val="0"/>
                <w:color w:val="595959"/>
                <w:sz w:val="15"/>
              </w:rPr>
              <w:t>oil_inflation_tail</w:t>
            </w:r>
          </w:p>
        </w:tc>
        <w:tc>
          <w:tcPr>
            <w:tcW w:type="dxa" w:w="1224"/>
            <w:vAlign w:val="top"/>
          </w:tcPr>
          <w:p>
            <w:pPr>
              <w:spacing w:after="20" w:line="240" w:lineRule="auto"/>
            </w:pPr>
            <w:r>
              <w:rPr>
                <w:rFonts w:ascii="Arial" w:hAnsi="Arial"/>
                <w:b w:val="0"/>
                <w:color w:val="595959"/>
                <w:sz w:val="15"/>
              </w:rPr>
              <w:t>Energy leadership</w:t>
            </w:r>
          </w:p>
        </w:tc>
        <w:tc>
          <w:tcPr>
            <w:tcW w:type="dxa" w:w="648"/>
            <w:vAlign w:val="top"/>
          </w:tcPr>
          <w:p>
            <w:pPr>
              <w:spacing w:after="20" w:line="240" w:lineRule="auto"/>
            </w:pPr>
            <w:r>
              <w:rPr>
                <w:rFonts w:ascii="Arial" w:hAnsi="Arial"/>
                <w:b w:val="0"/>
                <w:color w:val="375623"/>
                <w:sz w:val="15"/>
              </w:rPr>
              <w:t>+91.63</w:t>
            </w:r>
          </w:p>
        </w:tc>
        <w:tc>
          <w:tcPr>
            <w:tcW w:type="dxa" w:w="648"/>
            <w:vAlign w:val="top"/>
          </w:tcPr>
          <w:p>
            <w:pPr>
              <w:spacing w:after="20" w:line="240" w:lineRule="auto"/>
            </w:pPr>
            <w:r>
              <w:rPr>
                <w:rFonts w:ascii="Arial" w:hAnsi="Arial"/>
                <w:b w:val="0"/>
                <w:color w:val="375623"/>
                <w:sz w:val="15"/>
              </w:rPr>
              <w:t>+64.22</w:t>
            </w:r>
          </w:p>
        </w:tc>
        <w:tc>
          <w:tcPr>
            <w:tcW w:type="dxa" w:w="648"/>
            <w:vAlign w:val="top"/>
          </w:tcPr>
          <w:p>
            <w:pPr>
              <w:spacing w:after="20" w:line="240" w:lineRule="auto"/>
            </w:pPr>
            <w:r>
              <w:rPr>
                <w:rFonts w:ascii="Arial" w:hAnsi="Arial"/>
                <w:b w:val="0"/>
                <w:color w:val="375623"/>
                <w:sz w:val="15"/>
              </w:rPr>
              <w:t>+75.18</w:t>
            </w:r>
          </w:p>
        </w:tc>
        <w:tc>
          <w:tcPr>
            <w:tcW w:type="dxa" w:w="1728"/>
            <w:vAlign w:val="top"/>
          </w:tcPr>
          <w:p>
            <w:pPr>
              <w:spacing w:after="20" w:line="240" w:lineRule="auto"/>
            </w:pPr>
            <w:r>
              <w:rPr>
                <w:rFonts w:ascii="Arial" w:hAnsi="Arial"/>
                <w:b w:val="0"/>
                <w:color w:val="595959"/>
                <w:sz w:val="15"/>
              </w:rPr>
              <w:t>monetary_liquidity, breadth_market_structure, credit</w:t>
            </w:r>
          </w:p>
        </w:tc>
        <w:tc>
          <w:tcPr>
            <w:tcW w:type="dxa" w:w="1728"/>
            <w:vAlign w:val="top"/>
          </w:tcPr>
          <w:p>
            <w:pPr>
              <w:spacing w:after="20" w:line="240" w:lineRule="auto"/>
            </w:pPr>
            <w:r>
              <w:rPr>
                <w:rFonts w:ascii="Arial" w:hAnsi="Arial"/>
                <w:b w:val="0"/>
                <w:color w:val="595959"/>
                <w:sz w:val="15"/>
              </w:rPr>
              <w:t>positioning, volatility, credit</w:t>
            </w:r>
          </w:p>
        </w:tc>
      </w:tr>
      <w:tr>
        <w:tc>
          <w:tcPr>
            <w:tcW w:type="dxa" w:w="936"/>
            <w:shd w:fill="F7F9FC"/>
            <w:vAlign w:val="top"/>
          </w:tcPr>
          <w:p>
            <w:pPr>
              <w:spacing w:after="20" w:line="240" w:lineRule="auto"/>
            </w:pPr>
            <w:r>
              <w:rPr>
                <w:rFonts w:ascii="Arial" w:hAnsi="Arial"/>
                <w:b w:val="0"/>
                <w:color w:val="595959"/>
                <w:sz w:val="15"/>
              </w:rPr>
              <w:t>09/19/25</w:t>
            </w:r>
          </w:p>
        </w:tc>
        <w:tc>
          <w:tcPr>
            <w:tcW w:type="dxa" w:w="648"/>
            <w:shd w:fill="F7F9FC"/>
            <w:vAlign w:val="top"/>
          </w:tcPr>
          <w:p>
            <w:pPr>
              <w:spacing w:after="20" w:line="240" w:lineRule="auto"/>
            </w:pPr>
            <w:r>
              <w:rPr>
                <w:rFonts w:ascii="Arial" w:hAnsi="Arial"/>
                <w:b w:val="0"/>
                <w:color w:val="375623"/>
                <w:sz w:val="15"/>
              </w:rPr>
              <w:t>+3.04</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+58.40</w:t>
            </w:r>
          </w:p>
        </w:tc>
        <w:tc>
          <w:tcPr>
            <w:tcW w:type="dxa" w:w="648"/>
            <w:shd w:fill="F7F9FC"/>
            <w:vAlign w:val="top"/>
          </w:tcPr>
          <w:p>
            <w:pPr>
              <w:spacing w:after="20" w:line="240" w:lineRule="auto"/>
            </w:pPr>
            <w:r>
              <w:rPr>
                <w:rFonts w:ascii="Arial" w:hAnsi="Arial"/>
                <w:b w:val="0"/>
                <w:color w:val="375623"/>
                <w:sz w:val="15"/>
              </w:rPr>
              <w:t>+15.40</w:t>
            </w:r>
          </w:p>
        </w:tc>
        <w:tc>
          <w:tcPr>
            <w:tcW w:type="dxa" w:w="648"/>
            <w:shd w:fill="F7F9FC"/>
            <w:vAlign w:val="top"/>
          </w:tcPr>
          <w:p>
            <w:pPr>
              <w:spacing w:after="20" w:line="240" w:lineRule="auto"/>
            </w:pPr>
            <w:r>
              <w:rPr>
                <w:rFonts w:ascii="Arial" w:hAnsi="Arial"/>
                <w:b w:val="0"/>
                <w:color w:val="595959"/>
                <w:sz w:val="15"/>
              </w:rPr>
              <w:t>6</w:t>
            </w:r>
          </w:p>
        </w:tc>
        <w:tc>
          <w:tcPr>
            <w:tcW w:type="dxa" w:w="720"/>
            <w:shd w:fill="F7F9FC"/>
            <w:vAlign w:val="top"/>
          </w:tcPr>
          <w:p>
            <w:pPr>
              <w:spacing w:after="20" w:line="240" w:lineRule="auto"/>
            </w:pPr>
            <w:r>
              <w:rPr>
                <w:rFonts w:ascii="Arial" w:hAnsi="Arial"/>
                <w:b w:val="0"/>
                <w:color w:val="375623"/>
                <w:sz w:val="15"/>
              </w:rPr>
              <w:t>+1.92</w:t>
            </w:r>
          </w:p>
        </w:tc>
        <w:tc>
          <w:tcPr>
            <w:tcW w:type="dxa" w:w="720"/>
            <w:shd w:fill="F7F9FC"/>
            <w:vAlign w:val="top"/>
          </w:tcPr>
          <w:p>
            <w:pPr>
              <w:spacing w:after="20" w:line="240" w:lineRule="auto"/>
            </w:pPr>
            <w:r>
              <w:rPr>
                <w:rFonts w:ascii="Arial" w:hAnsi="Arial"/>
                <w:b w:val="0"/>
                <w:color w:val="375623"/>
                <w:sz w:val="15"/>
              </w:rPr>
              <w:t>+1.15</w:t>
            </w:r>
          </w:p>
        </w:tc>
        <w:tc>
          <w:tcPr>
            <w:tcW w:type="dxa" w:w="1512"/>
            <w:shd w:fill="F7F9FC"/>
            <w:vAlign w:val="top"/>
          </w:tcPr>
          <w:p>
            <w:pPr>
              <w:spacing w:after="20" w:line="240" w:lineRule="auto"/>
            </w:pPr>
            <w:r>
              <w:rPr>
                <w:rFonts w:ascii="Arial" w:hAnsi="Arial"/>
                <w:b w:val="0"/>
                <w:color w:val="595959"/>
                <w:sz w:val="15"/>
              </w:rPr>
              <w:t>reopening_soft_landing</w:t>
            </w:r>
          </w:p>
        </w:tc>
        <w:tc>
          <w:tcPr>
            <w:tcW w:type="dxa" w:w="1224"/>
            <w:shd w:fill="F7F9FC"/>
            <w:vAlign w:val="top"/>
          </w:tcPr>
          <w:p>
            <w:pPr>
              <w:spacing w:after="20" w:line="240" w:lineRule="auto"/>
            </w:pPr>
            <w:r>
              <w:rPr>
                <w:rFonts w:ascii="Arial" w:hAnsi="Arial"/>
                <w:b w:val="0"/>
                <w:color w:val="595959"/>
                <w:sz w:val="15"/>
              </w:rPr>
              <w:t>Positive + broad</w:t>
            </w:r>
          </w:p>
        </w:tc>
        <w:tc>
          <w:tcPr>
            <w:tcW w:type="dxa" w:w="648"/>
            <w:shd w:fill="F7F9FC"/>
            <w:vAlign w:val="top"/>
          </w:tcPr>
          <w:p>
            <w:pPr>
              <w:spacing w:after="20" w:line="240" w:lineRule="auto"/>
            </w:pPr>
            <w:r>
              <w:rPr>
                <w:rFonts w:ascii="Arial" w:hAnsi="Arial"/>
                <w:b w:val="0"/>
                <w:color w:val="375623"/>
                <w:sz w:val="15"/>
              </w:rPr>
              <w:t>+90.43</w:t>
            </w:r>
          </w:p>
        </w:tc>
        <w:tc>
          <w:tcPr>
            <w:tcW w:type="dxa" w:w="648"/>
            <w:shd w:fill="F7F9FC"/>
            <w:vAlign w:val="top"/>
          </w:tcPr>
          <w:p>
            <w:pPr>
              <w:spacing w:after="20" w:line="240" w:lineRule="auto"/>
            </w:pPr>
            <w:r>
              <w:rPr>
                <w:rFonts w:ascii="Arial" w:hAnsi="Arial"/>
                <w:b w:val="0"/>
                <w:color w:val="375623"/>
                <w:sz w:val="15"/>
              </w:rPr>
              <w:t>+62.58</w:t>
            </w:r>
          </w:p>
        </w:tc>
        <w:tc>
          <w:tcPr>
            <w:tcW w:type="dxa" w:w="648"/>
            <w:shd w:fill="F7F9FC"/>
            <w:vAlign w:val="top"/>
          </w:tcPr>
          <w:p>
            <w:pPr>
              <w:spacing w:after="20" w:line="240" w:lineRule="auto"/>
            </w:pPr>
            <w:r>
              <w:rPr>
                <w:rFonts w:ascii="Arial" w:hAnsi="Arial"/>
                <w:b w:val="0"/>
                <w:color w:val="375623"/>
                <w:sz w:val="15"/>
              </w:rPr>
              <w:t>+73.72</w:t>
            </w:r>
          </w:p>
        </w:tc>
        <w:tc>
          <w:tcPr>
            <w:tcW w:type="dxa" w:w="1728"/>
            <w:shd w:fill="F7F9FC"/>
            <w:vAlign w:val="top"/>
          </w:tcPr>
          <w:p>
            <w:pPr>
              <w:spacing w:after="20" w:line="240" w:lineRule="auto"/>
            </w:pPr>
            <w:r>
              <w:rPr>
                <w:rFonts w:ascii="Arial" w:hAnsi="Arial"/>
                <w:b w:val="0"/>
                <w:color w:val="595959"/>
                <w:sz w:val="15"/>
              </w:rPr>
              <w:t>monetary_liquidity, breadth_market_structure, credit</w:t>
            </w:r>
          </w:p>
        </w:tc>
        <w:tc>
          <w:tcPr>
            <w:tcW w:type="dxa" w:w="1728"/>
            <w:shd w:fill="F7F9FC"/>
            <w:vAlign w:val="top"/>
          </w:tcPr>
          <w:p>
            <w:pPr>
              <w:spacing w:after="20" w:line="240" w:lineRule="auto"/>
            </w:pPr>
            <w:r>
              <w:rPr>
                <w:rFonts w:ascii="Arial" w:hAnsi="Arial"/>
                <w:b w:val="0"/>
                <w:color w:val="595959"/>
                <w:sz w:val="15"/>
              </w:rPr>
              <w:t>volatility, positioning, credit</w:t>
            </w:r>
          </w:p>
        </w:tc>
      </w:tr>
      <w:tr>
        <w:tc>
          <w:tcPr>
            <w:tcW w:type="dxa" w:w="936"/>
            <w:vAlign w:val="top"/>
          </w:tcPr>
          <w:p>
            <w:pPr>
              <w:spacing w:after="20" w:line="240" w:lineRule="auto"/>
            </w:pPr>
            <w:r>
              <w:rPr>
                <w:rFonts w:ascii="Arial" w:hAnsi="Arial"/>
                <w:b w:val="0"/>
                <w:color w:val="595959"/>
                <w:sz w:val="15"/>
              </w:rPr>
              <w:t>09/17/18</w:t>
            </w:r>
          </w:p>
        </w:tc>
        <w:tc>
          <w:tcPr>
            <w:tcW w:type="dxa" w:w="648"/>
            <w:vAlign w:val="top"/>
          </w:tcPr>
          <w:p>
            <w:pPr>
              <w:spacing w:after="20" w:line="240" w:lineRule="auto"/>
            </w:pPr>
            <w:r>
              <w:rPr>
                <w:rFonts w:ascii="Arial" w:hAnsi="Arial"/>
                <w:b w:val="0"/>
                <w:color w:val="375623"/>
                <w:sz w:val="15"/>
              </w:rPr>
              <w:t>+2.75</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+58.90</w:t>
            </w:r>
          </w:p>
        </w:tc>
        <w:tc>
          <w:tcPr>
            <w:tcW w:type="dxa" w:w="648"/>
            <w:vAlign w:val="top"/>
          </w:tcPr>
          <w:p>
            <w:pPr>
              <w:spacing w:after="20" w:line="240" w:lineRule="auto"/>
            </w:pPr>
            <w:r>
              <w:rPr>
                <w:rFonts w:ascii="Arial" w:hAnsi="Arial"/>
                <w:b w:val="0"/>
                <w:color w:val="375623"/>
                <w:sz w:val="15"/>
              </w:rPr>
              <w:t>+13.70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C00000"/>
                <w:sz w:val="15"/>
              </w:rPr>
              <w:t>-11.74</w:t>
            </w:r>
          </w:p>
        </w:tc>
        <w:tc>
          <w:tcPr>
            <w:tcW w:type="dxa" w:w="720"/>
            <w:vAlign w:val="top"/>
          </w:tcPr>
          <w:p>
            <w:pPr>
              <w:spacing w:after="20" w:line="240" w:lineRule="auto"/>
            </w:pPr>
            <w:r>
              <w:rPr>
                <w:rFonts w:ascii="Arial" w:hAnsi="Arial"/>
                <w:b w:val="0"/>
                <w:color w:val="C00000"/>
                <w:sz w:val="15"/>
              </w:rPr>
              <w:t>-3.09</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Stress drawdown</w:t>
            </w:r>
          </w:p>
        </w:tc>
        <w:tc>
          <w:tcPr>
            <w:tcW w:type="dxa" w:w="648"/>
            <w:vAlign w:val="top"/>
          </w:tcPr>
          <w:p>
            <w:pPr>
              <w:spacing w:after="20" w:line="240" w:lineRule="auto"/>
            </w:pPr>
            <w:r>
              <w:rPr>
                <w:rFonts w:ascii="Arial" w:hAnsi="Arial"/>
                <w:b w:val="0"/>
                <w:color w:val="375623"/>
                <w:sz w:val="15"/>
              </w:rPr>
              <w:t>+92.52</w:t>
            </w:r>
          </w:p>
        </w:tc>
        <w:tc>
          <w:tcPr>
            <w:tcW w:type="dxa" w:w="648"/>
            <w:vAlign w:val="top"/>
          </w:tcPr>
          <w:p>
            <w:pPr>
              <w:spacing w:after="20" w:line="240" w:lineRule="auto"/>
            </w:pPr>
            <w:r>
              <w:rPr>
                <w:rFonts w:ascii="Arial" w:hAnsi="Arial"/>
                <w:b w:val="0"/>
                <w:color w:val="375623"/>
                <w:sz w:val="15"/>
              </w:rPr>
              <w:t>+63.10</w:t>
            </w:r>
          </w:p>
        </w:tc>
        <w:tc>
          <w:tcPr>
            <w:tcW w:type="dxa" w:w="648"/>
            <w:vAlign w:val="top"/>
          </w:tcPr>
          <w:p>
            <w:pPr>
              <w:spacing w:after="20" w:line="240" w:lineRule="auto"/>
            </w:pPr>
            <w:r>
              <w:rPr>
                <w:rFonts w:ascii="Arial" w:hAnsi="Arial"/>
                <w:b w:val="0"/>
                <w:color w:val="375623"/>
                <w:sz w:val="15"/>
              </w:rPr>
              <w:t>+74.87</w:t>
            </w:r>
          </w:p>
        </w:tc>
        <w:tc>
          <w:tcPr>
            <w:tcW w:type="dxa" w:w="1728"/>
            <w:vAlign w:val="top"/>
          </w:tcPr>
          <w:p>
            <w:pPr>
              <w:spacing w:after="20" w:line="240" w:lineRule="auto"/>
            </w:pPr>
            <w:r>
              <w:rPr>
                <w:rFonts w:ascii="Arial" w:hAnsi="Arial"/>
                <w:b w:val="0"/>
                <w:color w:val="595959"/>
                <w:sz w:val="15"/>
              </w:rPr>
              <w:t>credit, monetary_liquidity, breadth_market_structure</w:t>
            </w:r>
          </w:p>
        </w:tc>
        <w:tc>
          <w:tcPr>
            <w:tcW w:type="dxa" w:w="1728"/>
            <w:vAlign w:val="top"/>
          </w:tcPr>
          <w:p>
            <w:pPr>
              <w:spacing w:after="20" w:line="240" w:lineRule="auto"/>
            </w:pPr>
            <w:r>
              <w:rPr>
                <w:rFonts w:ascii="Arial" w:hAnsi="Arial"/>
                <w:b w:val="0"/>
                <w:color w:val="595959"/>
                <w:sz w:val="15"/>
              </w:rPr>
              <w:t>volatility, positioning, breadth_market_structure</w:t>
            </w:r>
          </w:p>
        </w:tc>
      </w:tr>
      <w:tr>
        <w:tc>
          <w:tcPr>
            <w:tcW w:type="dxa" w:w="936"/>
            <w:shd w:fill="F7F9FC"/>
            <w:vAlign w:val="top"/>
          </w:tcPr>
          <w:p>
            <w:pPr>
              <w:spacing w:after="20" w:line="240" w:lineRule="auto"/>
            </w:pPr>
            <w:r>
              <w:rPr>
                <w:rFonts w:ascii="Arial" w:hAnsi="Arial"/>
                <w:b w:val="0"/>
                <w:color w:val="595959"/>
                <w:sz w:val="15"/>
              </w:rPr>
              <w:t>03/30/10</w:t>
            </w:r>
          </w:p>
        </w:tc>
        <w:tc>
          <w:tcPr>
            <w:tcW w:type="dxa" w:w="648"/>
            <w:shd w:fill="F7F9FC"/>
            <w:vAlign w:val="top"/>
          </w:tcPr>
          <w:p>
            <w:pPr>
              <w:spacing w:after="20" w:line="240" w:lineRule="auto"/>
            </w:pPr>
            <w:r>
              <w:rPr>
                <w:rFonts w:ascii="Arial" w:hAnsi="Arial"/>
                <w:b w:val="0"/>
                <w:color w:val="375623"/>
                <w:sz w:val="15"/>
              </w:rPr>
              <w:t>+2.75</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+63.40</w:t>
            </w:r>
          </w:p>
        </w:tc>
        <w:tc>
          <w:tcPr>
            <w:tcW w:type="dxa" w:w="648"/>
            <w:shd w:fill="F7F9FC"/>
            <w:vAlign w:val="top"/>
          </w:tcPr>
          <w:p>
            <w:pPr>
              <w:spacing w:after="20" w:line="240" w:lineRule="auto"/>
            </w:pPr>
            <w:r>
              <w:rPr>
                <w:rFonts w:ascii="Arial" w:hAnsi="Arial"/>
                <w:b w:val="0"/>
                <w:color w:val="375623"/>
                <w:sz w:val="15"/>
              </w:rPr>
              <w:t>+17.10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C00000"/>
                <w:sz w:val="15"/>
              </w:rPr>
              <w:t>-11.24</w:t>
            </w:r>
          </w:p>
        </w:tc>
        <w:tc>
          <w:tcPr>
            <w:tcW w:type="dxa" w:w="720"/>
            <w:shd w:fill="F7F9FC"/>
            <w:vAlign w:val="top"/>
          </w:tcPr>
          <w:p>
            <w:pPr>
              <w:spacing w:after="20" w:line="240" w:lineRule="auto"/>
            </w:pPr>
            <w:r>
              <w:rPr>
                <w:rFonts w:ascii="Arial" w:hAnsi="Arial"/>
                <w:b w:val="0"/>
                <w:color w:val="375623"/>
                <w:sz w:val="15"/>
              </w:rPr>
              <w:t>+2.95</w:t>
            </w:r>
          </w:p>
        </w:tc>
        <w:tc>
          <w:tcPr>
            <w:tcW w:type="dxa" w:w="1512"/>
            <w:shd w:fill="F7F9FC"/>
            <w:vAlign w:val="top"/>
          </w:tcPr>
          <w:p>
            <w:pPr>
              <w:spacing w:after="20" w:line="240" w:lineRule="auto"/>
            </w:pPr>
            <w:r>
              <w:rPr>
                <w:rFonts w:ascii="Arial" w:hAnsi="Arial"/>
                <w:b w:val="0"/>
                <w:color w:val="595959"/>
                <w:sz w:val="15"/>
              </w:rPr>
              <w:t>late_cycle_risk_off</w:t>
            </w:r>
          </w:p>
        </w:tc>
        <w:tc>
          <w:tcPr>
            <w:tcW w:type="dxa" w:w="1224"/>
            <w:shd w:fill="F7F9FC"/>
            <w:vAlign w:val="top"/>
          </w:tcPr>
          <w:p>
            <w:pPr>
              <w:spacing w:after="20" w:line="240" w:lineRule="auto"/>
            </w:pPr>
            <w:r>
              <w:rPr>
                <w:rFonts w:ascii="Arial" w:hAnsi="Arial"/>
                <w:b w:val="0"/>
                <w:color w:val="595959"/>
                <w:sz w:val="15"/>
              </w:rPr>
              <w:t>Stress drawdown</w:t>
            </w:r>
          </w:p>
        </w:tc>
        <w:tc>
          <w:tcPr>
            <w:tcW w:type="dxa" w:w="648"/>
            <w:shd w:fill="F7F9FC"/>
            <w:vAlign w:val="top"/>
          </w:tcPr>
          <w:p>
            <w:pPr>
              <w:spacing w:after="20" w:line="240" w:lineRule="auto"/>
            </w:pPr>
            <w:r>
              <w:rPr>
                <w:rFonts w:ascii="Arial" w:hAnsi="Arial"/>
                <w:b w:val="0"/>
                <w:color w:val="375623"/>
                <w:sz w:val="15"/>
              </w:rPr>
              <w:t>+95.83</w:t>
            </w:r>
          </w:p>
        </w:tc>
        <w:tc>
          <w:tcPr>
            <w:tcW w:type="dxa" w:w="648"/>
            <w:shd w:fill="F7F9FC"/>
            <w:vAlign w:val="top"/>
          </w:tcPr>
          <w:p>
            <w:pPr>
              <w:spacing w:after="20" w:line="240" w:lineRule="auto"/>
            </w:pPr>
            <w:r>
              <w:rPr>
                <w:rFonts w:ascii="Arial" w:hAnsi="Arial"/>
                <w:b w:val="0"/>
                <w:color w:val="375623"/>
                <w:sz w:val="15"/>
              </w:rPr>
              <w:t>+76.32</w:t>
            </w:r>
          </w:p>
        </w:tc>
        <w:tc>
          <w:tcPr>
            <w:tcW w:type="dxa" w:w="648"/>
            <w:shd w:fill="F7F9FC"/>
            <w:vAlign w:val="top"/>
          </w:tcPr>
          <w:p>
            <w:pPr>
              <w:spacing w:after="20" w:line="240" w:lineRule="auto"/>
            </w:pPr>
            <w:r>
              <w:rPr>
                <w:rFonts w:ascii="Arial" w:hAnsi="Arial"/>
                <w:b w:val="0"/>
                <w:color w:val="375623"/>
                <w:sz w:val="15"/>
              </w:rPr>
              <w:t>+84.12</w:t>
            </w:r>
          </w:p>
        </w:tc>
        <w:tc>
          <w:tcPr>
            <w:tcW w:type="dxa" w:w="1728"/>
            <w:shd w:fill="F7F9FC"/>
            <w:vAlign w:val="top"/>
          </w:tcPr>
          <w:p>
            <w:pPr>
              <w:spacing w:after="20" w:line="240" w:lineRule="auto"/>
            </w:pPr>
            <w:r>
              <w:rPr>
                <w:rFonts w:ascii="Arial" w:hAnsi="Arial"/>
                <w:b w:val="0"/>
                <w:color w:val="595959"/>
                <w:sz w:val="15"/>
              </w:rPr>
              <w:t>breadth_market_structure, credit, monetary_liquidity</w:t>
            </w:r>
          </w:p>
        </w:tc>
        <w:tc>
          <w:tcPr>
            <w:tcW w:type="dxa" w:w="1728"/>
            <w:shd w:fill="F7F9FC"/>
            <w:vAlign w:val="top"/>
          </w:tcPr>
          <w:p>
            <w:pPr>
              <w:spacing w:after="20" w:line="240" w:lineRule="auto"/>
            </w:pPr>
            <w:r>
              <w:rPr>
                <w:rFonts w:ascii="Arial" w:hAnsi="Arial"/>
                <w:b w:val="0"/>
                <w:color w:val="595959"/>
                <w:sz w:val="15"/>
              </w:rPr>
              <w:t>volatility, positioning, monetary_liquidity</w:t>
            </w:r>
          </w:p>
        </w:tc>
      </w:tr>
      <w:tr>
        <w:tc>
          <w:tcPr>
            <w:tcW w:type="dxa" w:w="936"/>
            <w:vAlign w:val="top"/>
          </w:tcPr>
          <w:p>
            <w:pPr>
              <w:spacing w:after="20" w:line="240" w:lineRule="auto"/>
            </w:pPr>
            <w:r>
              <w:rPr>
                <w:rFonts w:ascii="Arial" w:hAnsi="Arial"/>
                <w:b w:val="0"/>
                <w:color w:val="595959"/>
                <w:sz w:val="15"/>
              </w:rPr>
              <w:t>02/16/18</w:t>
            </w:r>
          </w:p>
        </w:tc>
        <w:tc>
          <w:tcPr>
            <w:tcW w:type="dxa" w:w="648"/>
            <w:vAlign w:val="top"/>
          </w:tcPr>
          <w:p>
            <w:pPr>
              <w:spacing w:after="20" w:line="240" w:lineRule="auto"/>
            </w:pPr>
            <w:r>
              <w:rPr>
                <w:rFonts w:ascii="Arial" w:hAnsi="Arial"/>
                <w:b w:val="0"/>
                <w:color w:val="375623"/>
                <w:sz w:val="15"/>
              </w:rPr>
              <w:t>+2.69</w:t>
            </w:r>
          </w:p>
        </w:tc>
        <w:tc>
          <w:tcPr>
            <w:tcW w:type="dxa" w:w="792"/>
            <w:vAlign w:val="top"/>
          </w:tcPr>
          <w:p>
            <w:pPr>
              <w:spacing w:after="20" w:line="240" w:lineRule="auto"/>
            </w:pPr>
            <w:r>
              <w:rPr>
                <w:rFonts w:ascii="Arial" w:hAnsi="Arial"/>
                <w:b w:val="0"/>
                <w:color w:val="595959"/>
                <w:sz w:val="15"/>
              </w:rPr>
              <w:t>Chop / Layer Diver</w:t>
            </w:r>
          </w:p>
        </w:tc>
        <w:tc>
          <w:tcPr>
            <w:tcW w:type="dxa" w:w="648"/>
            <w:vAlign w:val="top"/>
          </w:tcPr>
          <w:p>
            <w:pPr>
              <w:spacing w:after="20" w:line="240" w:lineRule="auto"/>
            </w:pPr>
            <w:r>
              <w:rPr>
                <w:rFonts w:ascii="Arial" w:hAnsi="Arial"/>
                <w:b w:val="0"/>
                <w:color w:val="375623"/>
                <w:sz w:val="15"/>
              </w:rPr>
              <w:t>+50.80</w:t>
            </w:r>
          </w:p>
        </w:tc>
        <w:tc>
          <w:tcPr>
            <w:tcW w:type="dxa" w:w="648"/>
            <w:vAlign w:val="top"/>
          </w:tcPr>
          <w:p>
            <w:pPr>
              <w:spacing w:after="20" w:line="240" w:lineRule="auto"/>
            </w:pPr>
            <w:r>
              <w:rPr>
                <w:rFonts w:ascii="Arial" w:hAnsi="Arial"/>
                <w:b w:val="0"/>
                <w:color w:val="375623"/>
                <w:sz w:val="15"/>
              </w:rPr>
              <w:t>+19.50</w:t>
            </w:r>
          </w:p>
        </w:tc>
        <w:tc>
          <w:tcPr>
            <w:tcW w:type="dxa" w:w="648"/>
            <w:vAlign w:val="top"/>
          </w:tcPr>
          <w:p>
            <w:pPr>
              <w:spacing w:after="20" w:line="240" w:lineRule="auto"/>
            </w:pPr>
            <w:r>
              <w:rPr>
                <w:rFonts w:ascii="Arial" w:hAnsi="Arial"/>
                <w:b w:val="0"/>
                <w:color w:val="595959"/>
                <w:sz w:val="15"/>
              </w:rPr>
              <w:t>5</w:t>
            </w:r>
          </w:p>
        </w:tc>
        <w:tc>
          <w:tcPr>
            <w:tcW w:type="dxa" w:w="720"/>
            <w:vAlign w:val="top"/>
          </w:tcPr>
          <w:p>
            <w:pPr>
              <w:spacing w:after="20" w:line="240" w:lineRule="auto"/>
            </w:pPr>
            <w:r>
              <w:rPr>
                <w:rFonts w:ascii="Arial" w:hAnsi="Arial"/>
                <w:b w:val="0"/>
                <w:color w:val="C00000"/>
                <w:sz w:val="15"/>
              </w:rPr>
              <w:t>-0.65</w:t>
            </w:r>
          </w:p>
        </w:tc>
        <w:tc>
          <w:tcPr>
            <w:tcW w:type="dxa" w:w="720"/>
            <w:vAlign w:val="top"/>
          </w:tcPr>
          <w:p>
            <w:pPr>
              <w:spacing w:after="20" w:line="240" w:lineRule="auto"/>
            </w:pPr>
            <w:r>
              <w:rPr>
                <w:rFonts w:ascii="Arial" w:hAnsi="Arial"/>
                <w:b w:val="0"/>
                <w:color w:val="C00000"/>
                <w:sz w:val="15"/>
              </w:rPr>
              <w:t>-0.79</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Fallback negative</w:t>
            </w:r>
          </w:p>
        </w:tc>
        <w:tc>
          <w:tcPr>
            <w:tcW w:type="dxa" w:w="648"/>
            <w:vAlign w:val="top"/>
          </w:tcPr>
          <w:p>
            <w:pPr>
              <w:spacing w:after="20" w:line="240" w:lineRule="auto"/>
            </w:pPr>
            <w:r>
              <w:rPr>
                <w:rFonts w:ascii="Arial" w:hAnsi="Arial"/>
                <w:b w:val="0"/>
                <w:color w:val="375623"/>
                <w:sz w:val="15"/>
              </w:rPr>
              <w:t>+90.78</w:t>
            </w:r>
          </w:p>
        </w:tc>
        <w:tc>
          <w:tcPr>
            <w:tcW w:type="dxa" w:w="648"/>
            <w:vAlign w:val="top"/>
          </w:tcPr>
          <w:p>
            <w:pPr>
              <w:spacing w:after="20" w:line="240" w:lineRule="auto"/>
            </w:pPr>
            <w:r>
              <w:rPr>
                <w:rFonts w:ascii="Arial" w:hAnsi="Arial"/>
                <w:b w:val="0"/>
                <w:color w:val="375623"/>
                <w:sz w:val="15"/>
              </w:rPr>
              <w:t>+66.24</w:t>
            </w:r>
          </w:p>
        </w:tc>
        <w:tc>
          <w:tcPr>
            <w:tcW w:type="dxa" w:w="648"/>
            <w:vAlign w:val="top"/>
          </w:tcPr>
          <w:p>
            <w:pPr>
              <w:spacing w:after="20" w:line="240" w:lineRule="auto"/>
            </w:pPr>
            <w:r>
              <w:rPr>
                <w:rFonts w:ascii="Arial" w:hAnsi="Arial"/>
                <w:b w:val="0"/>
                <w:color w:val="375623"/>
                <w:sz w:val="15"/>
              </w:rPr>
              <w:t>+76.06</w:t>
            </w:r>
          </w:p>
        </w:tc>
        <w:tc>
          <w:tcPr>
            <w:tcW w:type="dxa" w:w="1728"/>
            <w:vAlign w:val="top"/>
          </w:tcPr>
          <w:p>
            <w:pPr>
              <w:spacing w:after="20" w:line="240" w:lineRule="auto"/>
            </w:pPr>
            <w:r>
              <w:rPr>
                <w:rFonts w:ascii="Arial" w:hAnsi="Arial"/>
                <w:b w:val="0"/>
                <w:color w:val="595959"/>
                <w:sz w:val="15"/>
              </w:rPr>
              <w:t>credit, breadth_market_structure, monetary_liquidity</w:t>
            </w:r>
          </w:p>
        </w:tc>
        <w:tc>
          <w:tcPr>
            <w:tcW w:type="dxa" w:w="1728"/>
            <w:vAlign w:val="top"/>
          </w:tcPr>
          <w:p>
            <w:pPr>
              <w:spacing w:after="20" w:line="240" w:lineRule="auto"/>
            </w:pPr>
            <w:r>
              <w:rPr>
                <w:rFonts w:ascii="Arial" w:hAnsi="Arial"/>
                <w:b w:val="0"/>
                <w:color w:val="595959"/>
                <w:sz w:val="15"/>
              </w:rPr>
              <w:t>positioning, volatility, monetary_liquidity</w:t>
            </w:r>
          </w:p>
        </w:tc>
      </w:tr>
      <w:tr>
        <w:tc>
          <w:tcPr>
            <w:tcW w:type="dxa" w:w="936"/>
            <w:shd w:fill="F7F9FC"/>
            <w:vAlign w:val="top"/>
          </w:tcPr>
          <w:p>
            <w:pPr>
              <w:spacing w:after="20" w:line="240" w:lineRule="auto"/>
            </w:pPr>
            <w:r>
              <w:rPr>
                <w:rFonts w:ascii="Arial" w:hAnsi="Arial"/>
                <w:b w:val="0"/>
                <w:color w:val="595959"/>
                <w:sz w:val="15"/>
              </w:rPr>
              <w:t>02/25/25</w:t>
            </w:r>
          </w:p>
        </w:tc>
        <w:tc>
          <w:tcPr>
            <w:tcW w:type="dxa" w:w="648"/>
            <w:shd w:fill="F7F9FC"/>
            <w:vAlign w:val="top"/>
          </w:tcPr>
          <w:p>
            <w:pPr>
              <w:spacing w:after="20" w:line="240" w:lineRule="auto"/>
            </w:pPr>
            <w:r>
              <w:rPr>
                <w:rFonts w:ascii="Arial" w:hAnsi="Arial"/>
                <w:b w:val="0"/>
                <w:color w:val="375623"/>
                <w:sz w:val="15"/>
              </w:rPr>
              <w:t>+2.67</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+56.20</w:t>
            </w:r>
          </w:p>
        </w:tc>
        <w:tc>
          <w:tcPr>
            <w:tcW w:type="dxa" w:w="648"/>
            <w:shd w:fill="F7F9FC"/>
            <w:vAlign w:val="top"/>
          </w:tcPr>
          <w:p>
            <w:pPr>
              <w:spacing w:after="20" w:line="240" w:lineRule="auto"/>
            </w:pPr>
            <w:r>
              <w:rPr>
                <w:rFonts w:ascii="Arial" w:hAnsi="Arial"/>
                <w:b w:val="0"/>
                <w:color w:val="375623"/>
                <w:sz w:val="15"/>
              </w:rPr>
              <w:t>+19.40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C00000"/>
                <w:sz w:val="15"/>
              </w:rPr>
              <w:t>-0.52</w:t>
            </w:r>
          </w:p>
        </w:tc>
        <w:tc>
          <w:tcPr>
            <w:tcW w:type="dxa" w:w="720"/>
            <w:shd w:fill="F7F9FC"/>
            <w:vAlign w:val="top"/>
          </w:tcPr>
          <w:p>
            <w:pPr>
              <w:spacing w:after="20" w:line="240" w:lineRule="auto"/>
            </w:pPr>
            <w:r>
              <w:rPr>
                <w:rFonts w:ascii="Arial" w:hAnsi="Arial"/>
                <w:b w:val="0"/>
                <w:color w:val="C00000"/>
                <w:sz w:val="15"/>
              </w:rPr>
              <w:t>-4.32</w:t>
            </w:r>
          </w:p>
        </w:tc>
        <w:tc>
          <w:tcPr>
            <w:tcW w:type="dxa" w:w="1512"/>
            <w:shd w:fill="F7F9FC"/>
            <w:vAlign w:val="top"/>
          </w:tcPr>
          <w:p>
            <w:pPr>
              <w:spacing w:after="20" w:line="240" w:lineRule="auto"/>
            </w:pPr>
            <w:r>
              <w:rPr>
                <w:rFonts w:ascii="Arial" w:hAnsi="Arial"/>
                <w:b w:val="0"/>
                <w:color w:val="595959"/>
                <w:sz w:val="15"/>
              </w:rPr>
              <w:t>ai_capex_rollover</w:t>
            </w:r>
          </w:p>
        </w:tc>
        <w:tc>
          <w:tcPr>
            <w:tcW w:type="dxa" w:w="1224"/>
            <w:shd w:fill="F7F9FC"/>
            <w:vAlign w:val="top"/>
          </w:tcPr>
          <w:p>
            <w:pPr>
              <w:spacing w:after="20" w:line="240" w:lineRule="auto"/>
            </w:pPr>
            <w:r>
              <w:rPr>
                <w:rFonts w:ascii="Arial" w:hAnsi="Arial"/>
                <w:b w:val="0"/>
                <w:color w:val="595959"/>
                <w:sz w:val="15"/>
              </w:rPr>
              <w:t>AI proxy weak</w:t>
            </w:r>
          </w:p>
        </w:tc>
        <w:tc>
          <w:tcPr>
            <w:tcW w:type="dxa" w:w="648"/>
            <w:shd w:fill="F7F9FC"/>
            <w:vAlign w:val="top"/>
          </w:tcPr>
          <w:p>
            <w:pPr>
              <w:spacing w:after="20" w:line="240" w:lineRule="auto"/>
            </w:pPr>
            <w:r>
              <w:rPr>
                <w:rFonts w:ascii="Arial" w:hAnsi="Arial"/>
                <w:b w:val="0"/>
                <w:color w:val="375623"/>
                <w:sz w:val="15"/>
              </w:rPr>
              <w:t>+93.79</w:t>
            </w:r>
          </w:p>
        </w:tc>
        <w:tc>
          <w:tcPr>
            <w:tcW w:type="dxa" w:w="648"/>
            <w:shd w:fill="F7F9FC"/>
            <w:vAlign w:val="top"/>
          </w:tcPr>
          <w:p>
            <w:pPr>
              <w:spacing w:after="20" w:line="240" w:lineRule="auto"/>
            </w:pPr>
            <w:r>
              <w:rPr>
                <w:rFonts w:ascii="Arial" w:hAnsi="Arial"/>
                <w:b w:val="0"/>
                <w:color w:val="375623"/>
                <w:sz w:val="15"/>
              </w:rPr>
              <w:t>+66.68</w:t>
            </w:r>
          </w:p>
        </w:tc>
        <w:tc>
          <w:tcPr>
            <w:tcW w:type="dxa" w:w="648"/>
            <w:shd w:fill="F7F9FC"/>
            <w:vAlign w:val="top"/>
          </w:tcPr>
          <w:p>
            <w:pPr>
              <w:spacing w:after="20" w:line="240" w:lineRule="auto"/>
            </w:pPr>
            <w:r>
              <w:rPr>
                <w:rFonts w:ascii="Arial" w:hAnsi="Arial"/>
                <w:b w:val="0"/>
                <w:color w:val="375623"/>
                <w:sz w:val="15"/>
              </w:rPr>
              <w:t>+77.52</w:t>
            </w:r>
          </w:p>
        </w:tc>
        <w:tc>
          <w:tcPr>
            <w:tcW w:type="dxa" w:w="1728"/>
            <w:shd w:fill="F7F9FC"/>
            <w:vAlign w:val="top"/>
          </w:tcPr>
          <w:p>
            <w:pPr>
              <w:spacing w:after="20" w:line="240" w:lineRule="auto"/>
            </w:pPr>
            <w:r>
              <w:rPr>
                <w:rFonts w:ascii="Arial" w:hAnsi="Arial"/>
                <w:b w:val="0"/>
                <w:color w:val="595959"/>
                <w:sz w:val="15"/>
              </w:rPr>
              <w:t>breadth_market_structure, monetary_liquidity, positioning</w:t>
            </w:r>
          </w:p>
        </w:tc>
        <w:tc>
          <w:tcPr>
            <w:tcW w:type="dxa" w:w="1728"/>
            <w:shd w:fill="F7F9FC"/>
            <w:vAlign w:val="top"/>
          </w:tcPr>
          <w:p>
            <w:pPr>
              <w:spacing w:after="20" w:line="240" w:lineRule="auto"/>
            </w:pPr>
            <w:r>
              <w:rPr>
                <w:rFonts w:ascii="Arial" w:hAnsi="Arial"/>
                <w:b w:val="0"/>
                <w:color w:val="595959"/>
                <w:sz w:val="15"/>
              </w:rPr>
              <w:t>volatility, credit, positioning</w:t>
            </w:r>
          </w:p>
        </w:tc>
      </w:tr>
      <w:tr>
        <w:tc>
          <w:tcPr>
            <w:tcW w:type="dxa" w:w="936"/>
            <w:vAlign w:val="top"/>
          </w:tcPr>
          <w:p>
            <w:pPr>
              <w:spacing w:after="20" w:line="240" w:lineRule="auto"/>
            </w:pPr>
            <w:r>
              <w:rPr>
                <w:rFonts w:ascii="Arial" w:hAnsi="Arial"/>
                <w:b w:val="0"/>
                <w:color w:val="595959"/>
                <w:sz w:val="15"/>
              </w:rPr>
              <w:t>01/23/18</w:t>
            </w:r>
          </w:p>
        </w:tc>
        <w:tc>
          <w:tcPr>
            <w:tcW w:type="dxa" w:w="648"/>
            <w:vAlign w:val="top"/>
          </w:tcPr>
          <w:p>
            <w:pPr>
              <w:spacing w:after="20" w:line="240" w:lineRule="auto"/>
            </w:pPr>
            <w:r>
              <w:rPr>
                <w:rFonts w:ascii="Arial" w:hAnsi="Arial"/>
                <w:b w:val="0"/>
                <w:color w:val="375623"/>
                <w:sz w:val="15"/>
              </w:rPr>
              <w:t>+2.66</w:t>
            </w:r>
          </w:p>
        </w:tc>
        <w:tc>
          <w:tcPr>
            <w:tcW w:type="dxa" w:w="792"/>
            <w:vAlign w:val="top"/>
          </w:tcPr>
          <w:p>
            <w:pPr>
              <w:spacing w:after="20" w:line="240" w:lineRule="auto"/>
            </w:pPr>
            <w:r>
              <w:rPr>
                <w:rFonts w:ascii="Arial" w:hAnsi="Arial"/>
                <w:b w:val="0"/>
                <w:color w:val="595959"/>
                <w:sz w:val="15"/>
              </w:rPr>
              <w:t>Chop / Layer Diver</w:t>
            </w:r>
          </w:p>
        </w:tc>
        <w:tc>
          <w:tcPr>
            <w:tcW w:type="dxa" w:w="648"/>
            <w:vAlign w:val="top"/>
          </w:tcPr>
          <w:p>
            <w:pPr>
              <w:spacing w:after="20" w:line="240" w:lineRule="auto"/>
            </w:pPr>
            <w:r>
              <w:rPr>
                <w:rFonts w:ascii="Arial" w:hAnsi="Arial"/>
                <w:b w:val="0"/>
                <w:color w:val="375623"/>
                <w:sz w:val="15"/>
              </w:rPr>
              <w:t>+58.80</w:t>
            </w:r>
          </w:p>
        </w:tc>
        <w:tc>
          <w:tcPr>
            <w:tcW w:type="dxa" w:w="648"/>
            <w:vAlign w:val="top"/>
          </w:tcPr>
          <w:p>
            <w:pPr>
              <w:spacing w:after="20" w:line="240" w:lineRule="auto"/>
            </w:pPr>
            <w:r>
              <w:rPr>
                <w:rFonts w:ascii="Arial" w:hAnsi="Arial"/>
                <w:b w:val="0"/>
                <w:color w:val="375623"/>
                <w:sz w:val="15"/>
              </w:rPr>
              <w:t>+11.10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C00000"/>
                <w:sz w:val="15"/>
              </w:rPr>
              <w:t>-7.17</w:t>
            </w:r>
          </w:p>
        </w:tc>
        <w:tc>
          <w:tcPr>
            <w:tcW w:type="dxa" w:w="720"/>
            <w:vAlign w:val="top"/>
          </w:tcPr>
          <w:p>
            <w:pPr>
              <w:spacing w:after="20" w:line="240" w:lineRule="auto"/>
            </w:pPr>
            <w:r>
              <w:rPr>
                <w:rFonts w:ascii="Arial" w:hAnsi="Arial"/>
                <w:b w:val="0"/>
                <w:color w:val="C00000"/>
                <w:sz w:val="15"/>
              </w:rPr>
              <w:t>-4.55</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Stress drawdown</w:t>
            </w:r>
          </w:p>
        </w:tc>
        <w:tc>
          <w:tcPr>
            <w:tcW w:type="dxa" w:w="648"/>
            <w:vAlign w:val="top"/>
          </w:tcPr>
          <w:p>
            <w:pPr>
              <w:spacing w:after="20" w:line="240" w:lineRule="auto"/>
            </w:pPr>
            <w:r>
              <w:rPr>
                <w:rFonts w:ascii="Arial" w:hAnsi="Arial"/>
                <w:b w:val="0"/>
                <w:color w:val="375623"/>
                <w:sz w:val="15"/>
              </w:rPr>
              <w:t>+90.89</w:t>
            </w:r>
          </w:p>
        </w:tc>
        <w:tc>
          <w:tcPr>
            <w:tcW w:type="dxa" w:w="648"/>
            <w:vAlign w:val="top"/>
          </w:tcPr>
          <w:p>
            <w:pPr>
              <w:spacing w:after="20" w:line="240" w:lineRule="auto"/>
            </w:pPr>
            <w:r>
              <w:rPr>
                <w:rFonts w:ascii="Arial" w:hAnsi="Arial"/>
                <w:b w:val="0"/>
                <w:color w:val="375623"/>
                <w:sz w:val="15"/>
              </w:rPr>
              <w:t>+64.04</w:t>
            </w:r>
          </w:p>
        </w:tc>
        <w:tc>
          <w:tcPr>
            <w:tcW w:type="dxa" w:w="648"/>
            <w:vAlign w:val="top"/>
          </w:tcPr>
          <w:p>
            <w:pPr>
              <w:spacing w:after="20" w:line="240" w:lineRule="auto"/>
            </w:pPr>
            <w:r>
              <w:rPr>
                <w:rFonts w:ascii="Arial" w:hAnsi="Arial"/>
                <w:b w:val="0"/>
                <w:color w:val="375623"/>
                <w:sz w:val="15"/>
              </w:rPr>
              <w:t>+74.78</w:t>
            </w:r>
          </w:p>
        </w:tc>
        <w:tc>
          <w:tcPr>
            <w:tcW w:type="dxa" w:w="1728"/>
            <w:vAlign w:val="top"/>
          </w:tcPr>
          <w:p>
            <w:pPr>
              <w:spacing w:after="20" w:line="240" w:lineRule="auto"/>
            </w:pPr>
            <w:r>
              <w:rPr>
                <w:rFonts w:ascii="Arial" w:hAnsi="Arial"/>
                <w:b w:val="0"/>
                <w:color w:val="595959"/>
                <w:sz w:val="15"/>
              </w:rPr>
              <w:t>monetary_liquidity, credit, breadth_market_structure</w:t>
            </w:r>
          </w:p>
        </w:tc>
        <w:tc>
          <w:tcPr>
            <w:tcW w:type="dxa" w:w="1728"/>
            <w:vAlign w:val="top"/>
          </w:tcPr>
          <w:p>
            <w:pPr>
              <w:spacing w:after="20" w:line="240" w:lineRule="auto"/>
            </w:pPr>
            <w:r>
              <w:rPr>
                <w:rFonts w:ascii="Arial" w:hAnsi="Arial"/>
                <w:b w:val="0"/>
                <w:color w:val="595959"/>
                <w:sz w:val="15"/>
              </w:rPr>
              <w:t>positioning, volatility, breadth_market_structure</w:t>
            </w:r>
          </w:p>
        </w:tc>
      </w:tr>
      <w:tr>
        <w:tc>
          <w:tcPr>
            <w:tcW w:type="dxa" w:w="936"/>
            <w:shd w:fill="F7F9FC"/>
            <w:vAlign w:val="top"/>
          </w:tcPr>
          <w:p>
            <w:pPr>
              <w:spacing w:after="20" w:line="240" w:lineRule="auto"/>
            </w:pPr>
            <w:r>
              <w:rPr>
                <w:rFonts w:ascii="Arial" w:hAnsi="Arial"/>
                <w:b w:val="0"/>
                <w:color w:val="595959"/>
                <w:sz w:val="15"/>
              </w:rPr>
              <w:t>09/15/25</w:t>
            </w:r>
          </w:p>
        </w:tc>
        <w:tc>
          <w:tcPr>
            <w:tcW w:type="dxa" w:w="648"/>
            <w:shd w:fill="F7F9FC"/>
            <w:vAlign w:val="top"/>
          </w:tcPr>
          <w:p>
            <w:pPr>
              <w:spacing w:after="20" w:line="240" w:lineRule="auto"/>
            </w:pPr>
            <w:r>
              <w:rPr>
                <w:rFonts w:ascii="Arial" w:hAnsi="Arial"/>
                <w:b w:val="0"/>
                <w:color w:val="375623"/>
                <w:sz w:val="15"/>
              </w:rPr>
              <w:t>+2.66</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+58.20</w:t>
            </w:r>
          </w:p>
        </w:tc>
        <w:tc>
          <w:tcPr>
            <w:tcW w:type="dxa" w:w="648"/>
            <w:shd w:fill="F7F9FC"/>
            <w:vAlign w:val="top"/>
          </w:tcPr>
          <w:p>
            <w:pPr>
              <w:spacing w:after="20" w:line="240" w:lineRule="auto"/>
            </w:pPr>
            <w:r>
              <w:rPr>
                <w:rFonts w:ascii="Arial" w:hAnsi="Arial"/>
                <w:b w:val="0"/>
                <w:color w:val="375623"/>
                <w:sz w:val="15"/>
              </w:rPr>
              <w:t>+15.70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375623"/>
                <w:sz w:val="15"/>
              </w:rPr>
              <w:t>+3.15</w:t>
            </w:r>
          </w:p>
        </w:tc>
        <w:tc>
          <w:tcPr>
            <w:tcW w:type="dxa" w:w="720"/>
            <w:shd w:fill="F7F9FC"/>
            <w:vAlign w:val="top"/>
          </w:tcPr>
          <w:p>
            <w:pPr>
              <w:spacing w:after="20" w:line="240" w:lineRule="auto"/>
            </w:pPr>
            <w:r>
              <w:rPr>
                <w:rFonts w:ascii="Arial" w:hAnsi="Arial"/>
                <w:b w:val="0"/>
                <w:color w:val="375623"/>
                <w:sz w:val="15"/>
              </w:rPr>
              <w:t>+0.20</w:t>
            </w:r>
          </w:p>
        </w:tc>
        <w:tc>
          <w:tcPr>
            <w:tcW w:type="dxa" w:w="1512"/>
            <w:shd w:fill="F7F9FC"/>
            <w:vAlign w:val="top"/>
          </w:tcPr>
          <w:p>
            <w:pPr>
              <w:spacing w:after="20" w:line="240" w:lineRule="auto"/>
            </w:pPr>
            <w:r>
              <w:rPr>
                <w:rFonts w:ascii="Arial" w:hAnsi="Arial"/>
                <w:b w:val="0"/>
                <w:color w:val="595959"/>
                <w:sz w:val="15"/>
              </w:rPr>
              <w:t>sticky_late_cycle_ai</w:t>
            </w:r>
          </w:p>
        </w:tc>
        <w:tc>
          <w:tcPr>
            <w:tcW w:type="dxa" w:w="1224"/>
            <w:shd w:fill="F7F9FC"/>
            <w:vAlign w:val="top"/>
          </w:tcPr>
          <w:p>
            <w:pPr>
              <w:spacing w:after="20" w:line="240" w:lineRule="auto"/>
            </w:pPr>
            <w:r>
              <w:rPr>
                <w:rFonts w:ascii="Arial" w:hAnsi="Arial"/>
                <w:b w:val="0"/>
                <w:color w:val="595959"/>
                <w:sz w:val="15"/>
              </w:rPr>
              <w:t>Positive + narrow</w:t>
            </w:r>
          </w:p>
        </w:tc>
        <w:tc>
          <w:tcPr>
            <w:tcW w:type="dxa" w:w="648"/>
            <w:shd w:fill="F7F9FC"/>
            <w:vAlign w:val="top"/>
          </w:tcPr>
          <w:p>
            <w:pPr>
              <w:spacing w:after="20" w:line="240" w:lineRule="auto"/>
            </w:pPr>
            <w:r>
              <w:rPr>
                <w:rFonts w:ascii="Arial" w:hAnsi="Arial"/>
                <w:b w:val="0"/>
                <w:color w:val="375623"/>
                <w:sz w:val="15"/>
              </w:rPr>
              <w:t>+92.04</w:t>
            </w:r>
          </w:p>
        </w:tc>
        <w:tc>
          <w:tcPr>
            <w:tcW w:type="dxa" w:w="648"/>
            <w:shd w:fill="F7F9FC"/>
            <w:vAlign w:val="top"/>
          </w:tcPr>
          <w:p>
            <w:pPr>
              <w:spacing w:after="20" w:line="240" w:lineRule="auto"/>
            </w:pPr>
            <w:r>
              <w:rPr>
                <w:rFonts w:ascii="Arial" w:hAnsi="Arial"/>
                <w:b w:val="0"/>
                <w:color w:val="375623"/>
                <w:sz w:val="15"/>
              </w:rPr>
              <w:t>+66.56</w:t>
            </w:r>
          </w:p>
        </w:tc>
        <w:tc>
          <w:tcPr>
            <w:tcW w:type="dxa" w:w="648"/>
            <w:shd w:fill="F7F9FC"/>
            <w:vAlign w:val="top"/>
          </w:tcPr>
          <w:p>
            <w:pPr>
              <w:spacing w:after="20" w:line="240" w:lineRule="auto"/>
            </w:pPr>
            <w:r>
              <w:rPr>
                <w:rFonts w:ascii="Arial" w:hAnsi="Arial"/>
                <w:b w:val="0"/>
                <w:color w:val="375623"/>
                <w:sz w:val="15"/>
              </w:rPr>
              <w:t>+76.75</w:t>
            </w:r>
          </w:p>
        </w:tc>
        <w:tc>
          <w:tcPr>
            <w:tcW w:type="dxa" w:w="1728"/>
            <w:shd w:fill="F7F9FC"/>
            <w:vAlign w:val="top"/>
          </w:tcPr>
          <w:p>
            <w:pPr>
              <w:spacing w:after="20" w:line="240" w:lineRule="auto"/>
            </w:pPr>
            <w:r>
              <w:rPr>
                <w:rFonts w:ascii="Arial" w:hAnsi="Arial"/>
                <w:b w:val="0"/>
                <w:color w:val="595959"/>
                <w:sz w:val="15"/>
              </w:rPr>
              <w:t>breadth_market_structure, monetary_liquidity, credit</w:t>
            </w:r>
          </w:p>
        </w:tc>
        <w:tc>
          <w:tcPr>
            <w:tcW w:type="dxa" w:w="1728"/>
            <w:shd w:fill="F7F9FC"/>
            <w:vAlign w:val="top"/>
          </w:tcPr>
          <w:p>
            <w:pPr>
              <w:spacing w:after="20" w:line="240" w:lineRule="auto"/>
            </w:pPr>
            <w:r>
              <w:rPr>
                <w:rFonts w:ascii="Arial" w:hAnsi="Arial"/>
                <w:b w:val="0"/>
                <w:color w:val="595959"/>
                <w:sz w:val="15"/>
              </w:rPr>
              <w:t>volatility, positioning, credit</w:t>
            </w:r>
          </w:p>
        </w:tc>
      </w:tr>
      <w:tr>
        <w:tc>
          <w:tcPr>
            <w:tcW w:type="dxa" w:w="936"/>
            <w:vAlign w:val="top"/>
          </w:tcPr>
          <w:p>
            <w:pPr>
              <w:spacing w:after="20" w:line="240" w:lineRule="auto"/>
            </w:pPr>
            <w:r>
              <w:rPr>
                <w:rFonts w:ascii="Arial" w:hAnsi="Arial"/>
                <w:b w:val="0"/>
                <w:color w:val="595959"/>
                <w:sz w:val="15"/>
              </w:rPr>
              <w:t>10/14/16</w:t>
            </w:r>
          </w:p>
        </w:tc>
        <w:tc>
          <w:tcPr>
            <w:tcW w:type="dxa" w:w="648"/>
            <w:vAlign w:val="top"/>
          </w:tcPr>
          <w:p>
            <w:pPr>
              <w:spacing w:after="20" w:line="240" w:lineRule="auto"/>
            </w:pPr>
            <w:r>
              <w:rPr>
                <w:rFonts w:ascii="Arial" w:hAnsi="Arial"/>
                <w:b w:val="0"/>
                <w:color w:val="375623"/>
                <w:sz w:val="15"/>
              </w:rPr>
              <w:t>+2.58</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+57.30</w:t>
            </w:r>
          </w:p>
        </w:tc>
        <w:tc>
          <w:tcPr>
            <w:tcW w:type="dxa" w:w="648"/>
            <w:vAlign w:val="top"/>
          </w:tcPr>
          <w:p>
            <w:pPr>
              <w:spacing w:after="20" w:line="240" w:lineRule="auto"/>
            </w:pPr>
            <w:r>
              <w:rPr>
                <w:rFonts w:ascii="Arial" w:hAnsi="Arial"/>
                <w:b w:val="0"/>
                <w:color w:val="375623"/>
                <w:sz w:val="15"/>
              </w:rPr>
              <w:t>+16.10</w:t>
            </w:r>
          </w:p>
        </w:tc>
        <w:tc>
          <w:tcPr>
            <w:tcW w:type="dxa" w:w="648"/>
            <w:vAlign w:val="top"/>
          </w:tcPr>
          <w:p>
            <w:pPr>
              <w:spacing w:after="20" w:line="240" w:lineRule="auto"/>
            </w:pPr>
            <w:r>
              <w:rPr>
                <w:rFonts w:ascii="Arial" w:hAnsi="Arial"/>
                <w:b w:val="0"/>
                <w:color w:val="595959"/>
                <w:sz w:val="15"/>
              </w:rPr>
              <w:t>5</w:t>
            </w:r>
          </w:p>
        </w:tc>
        <w:tc>
          <w:tcPr>
            <w:tcW w:type="dxa" w:w="720"/>
            <w:vAlign w:val="top"/>
          </w:tcPr>
          <w:p>
            <w:pPr>
              <w:spacing w:after="20" w:line="240" w:lineRule="auto"/>
            </w:pPr>
            <w:r>
              <w:rPr>
                <w:rFonts w:ascii="Arial" w:hAnsi="Arial"/>
                <w:b w:val="0"/>
                <w:color w:val="375623"/>
                <w:sz w:val="15"/>
              </w:rPr>
              <w:t>+6.16</w:t>
            </w:r>
          </w:p>
        </w:tc>
        <w:tc>
          <w:tcPr>
            <w:tcW w:type="dxa" w:w="720"/>
            <w:vAlign w:val="top"/>
          </w:tcPr>
          <w:p>
            <w:pPr>
              <w:spacing w:after="20" w:line="240" w:lineRule="auto"/>
            </w:pPr>
            <w:r>
              <w:rPr>
                <w:rFonts w:ascii="Arial" w:hAnsi="Arial"/>
                <w:b w:val="0"/>
                <w:color w:val="375623"/>
                <w:sz w:val="15"/>
              </w:rPr>
              <w:t>+1.63</w:t>
            </w:r>
          </w:p>
        </w:tc>
        <w:tc>
          <w:tcPr>
            <w:tcW w:type="dxa" w:w="1512"/>
            <w:vAlign w:val="top"/>
          </w:tcPr>
          <w:p>
            <w:pPr>
              <w:spacing w:after="20" w:line="240" w:lineRule="auto"/>
            </w:pPr>
            <w:r>
              <w:rPr>
                <w:rFonts w:ascii="Arial" w:hAnsi="Arial"/>
                <w:b w:val="0"/>
                <w:color w:val="595959"/>
                <w:sz w:val="15"/>
              </w:rPr>
              <w:t>sticky_late_cycle_ai</w:t>
            </w:r>
          </w:p>
        </w:tc>
        <w:tc>
          <w:tcPr>
            <w:tcW w:type="dxa" w:w="1224"/>
            <w:vAlign w:val="top"/>
          </w:tcPr>
          <w:p>
            <w:pPr>
              <w:spacing w:after="20" w:line="240" w:lineRule="auto"/>
            </w:pPr>
            <w:r>
              <w:rPr>
                <w:rFonts w:ascii="Arial" w:hAnsi="Arial"/>
                <w:b w:val="0"/>
                <w:color w:val="595959"/>
                <w:sz w:val="15"/>
              </w:rPr>
              <w:t>Positive + narrow</w:t>
            </w:r>
          </w:p>
        </w:tc>
        <w:tc>
          <w:tcPr>
            <w:tcW w:type="dxa" w:w="648"/>
            <w:vAlign w:val="top"/>
          </w:tcPr>
          <w:p>
            <w:pPr>
              <w:spacing w:after="20" w:line="240" w:lineRule="auto"/>
            </w:pPr>
            <w:r>
              <w:rPr>
                <w:rFonts w:ascii="Arial" w:hAnsi="Arial"/>
                <w:b w:val="0"/>
                <w:color w:val="375623"/>
                <w:sz w:val="15"/>
              </w:rPr>
              <w:t>+92.51</w:t>
            </w:r>
          </w:p>
        </w:tc>
        <w:tc>
          <w:tcPr>
            <w:tcW w:type="dxa" w:w="648"/>
            <w:vAlign w:val="top"/>
          </w:tcPr>
          <w:p>
            <w:pPr>
              <w:spacing w:after="20" w:line="240" w:lineRule="auto"/>
            </w:pPr>
            <w:r>
              <w:rPr>
                <w:rFonts w:ascii="Arial" w:hAnsi="Arial"/>
                <w:b w:val="0"/>
                <w:color w:val="375623"/>
                <w:sz w:val="15"/>
              </w:rPr>
              <w:t>+62.37</w:t>
            </w:r>
          </w:p>
        </w:tc>
        <w:tc>
          <w:tcPr>
            <w:tcW w:type="dxa" w:w="648"/>
            <w:vAlign w:val="top"/>
          </w:tcPr>
          <w:p>
            <w:pPr>
              <w:spacing w:after="20" w:line="240" w:lineRule="auto"/>
            </w:pPr>
            <w:r>
              <w:rPr>
                <w:rFonts w:ascii="Arial" w:hAnsi="Arial"/>
                <w:b w:val="0"/>
                <w:color w:val="375623"/>
                <w:sz w:val="15"/>
              </w:rPr>
              <w:t>+74.43</w:t>
            </w:r>
          </w:p>
        </w:tc>
        <w:tc>
          <w:tcPr>
            <w:tcW w:type="dxa" w:w="1728"/>
            <w:vAlign w:val="top"/>
          </w:tcPr>
          <w:p>
            <w:pPr>
              <w:spacing w:after="20" w:line="240" w:lineRule="auto"/>
            </w:pPr>
            <w:r>
              <w:rPr>
                <w:rFonts w:ascii="Arial" w:hAnsi="Arial"/>
                <w:b w:val="0"/>
                <w:color w:val="595959"/>
                <w:sz w:val="15"/>
              </w:rPr>
              <w:t>credit, breadth_market_structure, monetary_liquidity</w:t>
            </w:r>
          </w:p>
        </w:tc>
        <w:tc>
          <w:tcPr>
            <w:tcW w:type="dxa" w:w="1728"/>
            <w:vAlign w:val="top"/>
          </w:tcPr>
          <w:p>
            <w:pPr>
              <w:spacing w:after="20" w:line="240" w:lineRule="auto"/>
            </w:pPr>
            <w:r>
              <w:rPr>
                <w:rFonts w:ascii="Arial" w:hAnsi="Arial"/>
                <w:b w:val="0"/>
                <w:color w:val="595959"/>
                <w:sz w:val="15"/>
              </w:rPr>
              <w:t>positioning, volatility, monetary_liquidity</w:t>
            </w:r>
          </w:p>
        </w:tc>
      </w:tr>
      <w:tr>
        <w:tc>
          <w:tcPr>
            <w:tcW w:type="dxa" w:w="936"/>
            <w:shd w:fill="F7F9FC"/>
            <w:vAlign w:val="top"/>
          </w:tcPr>
          <w:p>
            <w:pPr>
              <w:spacing w:after="20" w:line="240" w:lineRule="auto"/>
            </w:pPr>
            <w:r>
              <w:rPr>
                <w:rFonts w:ascii="Arial" w:hAnsi="Arial"/>
                <w:b w:val="0"/>
                <w:color w:val="595959"/>
                <w:sz w:val="15"/>
              </w:rPr>
              <w:t>10/21/25</w:t>
            </w:r>
          </w:p>
        </w:tc>
        <w:tc>
          <w:tcPr>
            <w:tcW w:type="dxa" w:w="648"/>
            <w:shd w:fill="F7F9FC"/>
            <w:vAlign w:val="top"/>
          </w:tcPr>
          <w:p>
            <w:pPr>
              <w:spacing w:after="20" w:line="240" w:lineRule="auto"/>
            </w:pPr>
            <w:r>
              <w:rPr>
                <w:rFonts w:ascii="Arial" w:hAnsi="Arial"/>
                <w:b w:val="0"/>
                <w:color w:val="375623"/>
                <w:sz w:val="15"/>
              </w:rPr>
              <w:t>+2.57</w:t>
            </w:r>
          </w:p>
        </w:tc>
        <w:tc>
          <w:tcPr>
            <w:tcW w:type="dxa" w:w="792"/>
            <w:shd w:fill="F7F9FC"/>
            <w:vAlign w:val="top"/>
          </w:tcPr>
          <w:p>
            <w:pPr>
              <w:spacing w:after="20" w:line="240" w:lineRule="auto"/>
            </w:pPr>
            <w:r>
              <w:rPr>
                <w:rFonts w:ascii="Arial" w:hAnsi="Arial"/>
                <w:b w:val="0"/>
                <w:color w:val="595959"/>
                <w:sz w:val="15"/>
              </w:rPr>
              <w:t>Chop / Layer Diver</w:t>
            </w:r>
          </w:p>
        </w:tc>
        <w:tc>
          <w:tcPr>
            <w:tcW w:type="dxa" w:w="648"/>
            <w:shd w:fill="F7F9FC"/>
            <w:vAlign w:val="top"/>
          </w:tcPr>
          <w:p>
            <w:pPr>
              <w:spacing w:after="20" w:line="240" w:lineRule="auto"/>
            </w:pPr>
            <w:r>
              <w:rPr>
                <w:rFonts w:ascii="Arial" w:hAnsi="Arial"/>
                <w:b w:val="0"/>
                <w:color w:val="375623"/>
                <w:sz w:val="15"/>
              </w:rPr>
              <w:t>+54.40</w:t>
            </w:r>
          </w:p>
        </w:tc>
        <w:tc>
          <w:tcPr>
            <w:tcW w:type="dxa" w:w="648"/>
            <w:shd w:fill="F7F9FC"/>
            <w:vAlign w:val="top"/>
          </w:tcPr>
          <w:p>
            <w:pPr>
              <w:spacing w:after="20" w:line="240" w:lineRule="auto"/>
            </w:pPr>
            <w:r>
              <w:rPr>
                <w:rFonts w:ascii="Arial" w:hAnsi="Arial"/>
                <w:b w:val="0"/>
                <w:color w:val="375623"/>
                <w:sz w:val="15"/>
              </w:rPr>
              <w:t>+17.90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375623"/>
                <w:sz w:val="15"/>
              </w:rPr>
              <w:t>+2.64</w:t>
            </w:r>
          </w:p>
        </w:tc>
        <w:tc>
          <w:tcPr>
            <w:tcW w:type="dxa" w:w="720"/>
            <w:shd w:fill="F7F9FC"/>
            <w:vAlign w:val="top"/>
          </w:tcPr>
          <w:p>
            <w:pPr>
              <w:spacing w:after="20" w:line="240" w:lineRule="auto"/>
            </w:pPr>
            <w:r>
              <w:rPr>
                <w:rFonts w:ascii="Arial" w:hAnsi="Arial"/>
                <w:b w:val="0"/>
                <w:color w:val="C00000"/>
                <w:sz w:val="15"/>
              </w:rPr>
              <w:t>-1.29</w:t>
            </w:r>
          </w:p>
        </w:tc>
        <w:tc>
          <w:tcPr>
            <w:tcW w:type="dxa" w:w="1512"/>
            <w:shd w:fill="F7F9FC"/>
            <w:vAlign w:val="top"/>
          </w:tcPr>
          <w:p>
            <w:pPr>
              <w:spacing w:after="20" w:line="240" w:lineRule="auto"/>
            </w:pPr>
            <w:r>
              <w:rPr>
                <w:rFonts w:ascii="Arial" w:hAnsi="Arial"/>
                <w:b w:val="0"/>
                <w:color w:val="595959"/>
                <w:sz w:val="15"/>
              </w:rPr>
              <w:t>sticky_late_cycle_ai</w:t>
            </w:r>
          </w:p>
        </w:tc>
        <w:tc>
          <w:tcPr>
            <w:tcW w:type="dxa" w:w="1224"/>
            <w:shd w:fill="F7F9FC"/>
            <w:vAlign w:val="top"/>
          </w:tcPr>
          <w:p>
            <w:pPr>
              <w:spacing w:after="20" w:line="240" w:lineRule="auto"/>
            </w:pPr>
            <w:r>
              <w:rPr>
                <w:rFonts w:ascii="Arial" w:hAnsi="Arial"/>
                <w:b w:val="0"/>
                <w:color w:val="595959"/>
                <w:sz w:val="15"/>
              </w:rPr>
              <w:t>Positive + narrow</w:t>
            </w:r>
          </w:p>
        </w:tc>
        <w:tc>
          <w:tcPr>
            <w:tcW w:type="dxa" w:w="648"/>
            <w:shd w:fill="F7F9FC"/>
            <w:vAlign w:val="top"/>
          </w:tcPr>
          <w:p>
            <w:pPr>
              <w:spacing w:after="20" w:line="240" w:lineRule="auto"/>
            </w:pPr>
            <w:r>
              <w:rPr>
                <w:rFonts w:ascii="Arial" w:hAnsi="Arial"/>
                <w:b w:val="0"/>
                <w:color w:val="375623"/>
                <w:sz w:val="15"/>
              </w:rPr>
              <w:t>+91.82</w:t>
            </w:r>
          </w:p>
        </w:tc>
        <w:tc>
          <w:tcPr>
            <w:tcW w:type="dxa" w:w="648"/>
            <w:shd w:fill="F7F9FC"/>
            <w:vAlign w:val="top"/>
          </w:tcPr>
          <w:p>
            <w:pPr>
              <w:spacing w:after="20" w:line="240" w:lineRule="auto"/>
            </w:pPr>
            <w:r>
              <w:rPr>
                <w:rFonts w:ascii="Arial" w:hAnsi="Arial"/>
                <w:b w:val="0"/>
                <w:color w:val="375623"/>
                <w:sz w:val="15"/>
              </w:rPr>
              <w:t>+59.80</w:t>
            </w:r>
          </w:p>
        </w:tc>
        <w:tc>
          <w:tcPr>
            <w:tcW w:type="dxa" w:w="648"/>
            <w:shd w:fill="F7F9FC"/>
            <w:vAlign w:val="top"/>
          </w:tcPr>
          <w:p>
            <w:pPr>
              <w:spacing w:after="20" w:line="240" w:lineRule="auto"/>
            </w:pPr>
            <w:r>
              <w:rPr>
                <w:rFonts w:ascii="Arial" w:hAnsi="Arial"/>
                <w:b w:val="0"/>
                <w:color w:val="375623"/>
                <w:sz w:val="15"/>
              </w:rPr>
              <w:t>+72.61</w:t>
            </w:r>
          </w:p>
        </w:tc>
        <w:tc>
          <w:tcPr>
            <w:tcW w:type="dxa" w:w="1728"/>
            <w:shd w:fill="F7F9FC"/>
            <w:vAlign w:val="top"/>
          </w:tcPr>
          <w:p>
            <w:pPr>
              <w:spacing w:after="20" w:line="240" w:lineRule="auto"/>
            </w:pPr>
            <w:r>
              <w:rPr>
                <w:rFonts w:ascii="Arial" w:hAnsi="Arial"/>
                <w:b w:val="0"/>
                <w:color w:val="595959"/>
                <w:sz w:val="15"/>
              </w:rPr>
              <w:t>breadth_market_structure, monetary_liquidity, positioning</w:t>
            </w:r>
          </w:p>
        </w:tc>
        <w:tc>
          <w:tcPr>
            <w:tcW w:type="dxa" w:w="1728"/>
            <w:shd w:fill="F7F9FC"/>
            <w:vAlign w:val="top"/>
          </w:tcPr>
          <w:p>
            <w:pPr>
              <w:spacing w:after="20" w:line="240" w:lineRule="auto"/>
            </w:pPr>
            <w:r>
              <w:rPr>
                <w:rFonts w:ascii="Arial" w:hAnsi="Arial"/>
                <w:b w:val="0"/>
                <w:color w:val="595959"/>
                <w:sz w:val="15"/>
              </w:rPr>
              <w:t>credit, volatility, positioning</w:t>
            </w:r>
          </w:p>
        </w:tc>
      </w:tr>
    </w:tbl>
    <w:p>
      <w:pPr>
        <w:spacing w:after="120"/>
      </w:pPr>
    </w:p>
    <w:p>
      <w:pPr>
        <w:spacing w:before="180" w:after="80"/>
      </w:pPr>
      <w:r>
        <w:rPr>
          <w:rFonts w:ascii="Arial" w:hAnsi="Arial"/>
          <w:b/>
          <w:color w:val="2E75B6"/>
          <w:sz w:val="21"/>
        </w:rPr>
        <w:t>Scenario Calibration</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944"/>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Deterministic Probability</w:t>
            </w:r>
          </w:p>
        </w:tc>
        <w:tc>
          <w:tcPr>
            <w:tcW w:type="dxa" w:w="1080"/>
            <w:shd w:fill="1F4E79"/>
            <w:vAlign w:val="top"/>
          </w:tcPr>
          <w:p>
            <w:pPr>
              <w:spacing w:after="20" w:line="240" w:lineRule="auto"/>
            </w:pPr>
            <w:r>
              <w:rPr>
                <w:rFonts w:ascii="Arial" w:hAnsi="Arial"/>
                <w:b/>
                <w:color w:val="FFFFFF"/>
                <w:sz w:val="15"/>
              </w:rPr>
              <w:t>Historical Probability</w:t>
            </w:r>
          </w:p>
        </w:tc>
        <w:tc>
          <w:tcPr>
            <w:tcW w:type="dxa" w:w="1080"/>
            <w:shd w:fill="1F4E79"/>
            <w:vAlign w:val="top"/>
          </w:tcPr>
          <w:p>
            <w:pPr>
              <w:spacing w:after="20" w:line="240" w:lineRule="auto"/>
            </w:pPr>
            <w:r>
              <w:rPr>
                <w:rFonts w:ascii="Arial" w:hAnsi="Arial"/>
                <w:b/>
                <w:color w:val="FFFFFF"/>
                <w:sz w:val="15"/>
              </w:rPr>
              <w:t>Blended Probability</w:t>
            </w:r>
          </w:p>
        </w:tc>
        <w:tc>
          <w:tcPr>
            <w:tcW w:type="dxa" w:w="936"/>
            <w:shd w:fill="1F4E79"/>
            <w:vAlign w:val="top"/>
          </w:tcPr>
          <w:p>
            <w:pPr>
              <w:spacing w:after="20" w:line="240" w:lineRule="auto"/>
            </w:pPr>
            <w:r>
              <w:rPr>
                <w:rFonts w:ascii="Arial" w:hAnsi="Arial"/>
                <w:b/>
                <w:color w:val="FFFFFF"/>
                <w:sz w:val="15"/>
              </w:rPr>
              <w:t>Analog Effect</w:t>
            </w:r>
          </w:p>
        </w:tc>
        <w:tc>
          <w:tcPr>
            <w:tcW w:type="dxa" w:w="936"/>
            <w:shd w:fill="1F4E79"/>
            <w:vAlign w:val="top"/>
          </w:tcPr>
          <w:p>
            <w:pPr>
              <w:spacing w:after="20" w:line="240" w:lineRule="auto"/>
            </w:pPr>
            <w:r>
              <w:rPr>
                <w:rFonts w:ascii="Arial" w:hAnsi="Arial"/>
                <w:b/>
                <w:color w:val="FFFFFF"/>
                <w:sz w:val="15"/>
              </w:rPr>
              <w:t>Supporting Analogues</w:t>
            </w:r>
          </w:p>
        </w:tc>
        <w:tc>
          <w:tcPr>
            <w:tcW w:type="dxa" w:w="792"/>
            <w:shd w:fill="1F4E79"/>
            <w:vAlign w:val="top"/>
          </w:tcPr>
          <w:p>
            <w:pPr>
              <w:spacing w:after="20" w:line="240" w:lineRule="auto"/>
            </w:pPr>
            <w:r>
              <w:rPr>
                <w:rFonts w:ascii="Arial" w:hAnsi="Arial"/>
                <w:b/>
                <w:color w:val="FFFFFF"/>
                <w:sz w:val="15"/>
              </w:rPr>
              <w:t>Confidence</w:t>
            </w:r>
          </w:p>
        </w:tc>
        <w:tc>
          <w:tcPr>
            <w:tcW w:type="dxa" w:w="6048"/>
            <w:shd w:fill="1F4E79"/>
            <w:vAlign w:val="top"/>
          </w:tcPr>
          <w:p>
            <w:pPr>
              <w:spacing w:after="20" w:line="240" w:lineRule="auto"/>
            </w:pPr>
            <w:r>
              <w:rPr>
                <w:rFonts w:ascii="Arial" w:hAnsi="Arial"/>
                <w:b/>
                <w:color w:val="FFFFFF"/>
                <w:sz w:val="15"/>
              </w:rPr>
              <w:t>Rationale</w:t>
            </w:r>
          </w:p>
        </w:tc>
      </w:tr>
      <w:tr>
        <w:tc>
          <w:tcPr>
            <w:tcW w:type="dxa" w:w="1944"/>
            <w:vAlign w:val="top"/>
          </w:tcPr>
          <w:p>
            <w:pPr>
              <w:spacing w:after="20" w:line="240" w:lineRule="auto"/>
            </w:pPr>
            <w:r>
              <w:rPr>
                <w:rFonts w:ascii="Arial" w:hAnsi="Arial"/>
                <w:b w:val="0"/>
                <w:color w:val="595959"/>
                <w:sz w:val="15"/>
              </w:rPr>
              <w:t>Reopening / Soft Landing</w:t>
            </w:r>
          </w:p>
        </w:tc>
        <w:tc>
          <w:tcPr>
            <w:tcW w:type="dxa" w:w="1080"/>
            <w:vAlign w:val="top"/>
          </w:tcPr>
          <w:p>
            <w:pPr>
              <w:spacing w:after="20" w:line="240" w:lineRule="auto"/>
            </w:pPr>
            <w:r>
              <w:rPr>
                <w:rFonts w:ascii="Arial" w:hAnsi="Arial"/>
                <w:b w:val="0"/>
                <w:color w:val="595959"/>
                <w:sz w:val="15"/>
              </w:rPr>
              <w:t>47.12%</w:t>
            </w:r>
          </w:p>
        </w:tc>
        <w:tc>
          <w:tcPr>
            <w:tcW w:type="dxa" w:w="1080"/>
            <w:vAlign w:val="top"/>
          </w:tcPr>
          <w:p>
            <w:pPr>
              <w:spacing w:after="20" w:line="240" w:lineRule="auto"/>
            </w:pPr>
            <w:r>
              <w:rPr>
                <w:rFonts w:ascii="Arial" w:hAnsi="Arial"/>
                <w:b w:val="0"/>
                <w:color w:val="595959"/>
                <w:sz w:val="15"/>
              </w:rPr>
              <w:t>10.69%</w:t>
            </w:r>
          </w:p>
        </w:tc>
        <w:tc>
          <w:tcPr>
            <w:tcW w:type="dxa" w:w="1080"/>
            <w:vAlign w:val="top"/>
          </w:tcPr>
          <w:p>
            <w:pPr>
              <w:spacing w:after="20" w:line="240" w:lineRule="auto"/>
            </w:pPr>
            <w:r>
              <w:rPr>
                <w:rFonts w:ascii="Arial" w:hAnsi="Arial"/>
                <w:b w:val="0"/>
                <w:color w:val="595959"/>
                <w:sz w:val="15"/>
              </w:rPr>
              <w:t>36.19%</w:t>
            </w:r>
          </w:p>
        </w:tc>
        <w:tc>
          <w:tcPr>
            <w:tcW w:type="dxa" w:w="936"/>
            <w:vAlign w:val="top"/>
          </w:tcPr>
          <w:p>
            <w:pPr>
              <w:spacing w:after="20" w:line="240" w:lineRule="auto"/>
            </w:pPr>
            <w:r>
              <w:rPr>
                <w:rFonts w:ascii="Arial" w:hAnsi="Arial"/>
                <w:b w:val="0"/>
                <w:color w:val="C00000"/>
                <w:sz w:val="15"/>
              </w:rPr>
              <w:t>-10.93%</w:t>
            </w:r>
          </w:p>
        </w:tc>
        <w:tc>
          <w:tcPr>
            <w:tcW w:type="dxa" w:w="936"/>
            <w:vAlign w:val="top"/>
          </w:tcPr>
          <w:p>
            <w:pPr>
              <w:spacing w:after="20" w:line="240" w:lineRule="auto"/>
            </w:pPr>
            <w:r>
              <w:rPr>
                <w:rFonts w:ascii="Arial" w:hAnsi="Arial"/>
                <w:b w:val="0"/>
                <w:color w:val="595959"/>
                <w:sz w:val="15"/>
              </w:rPr>
              <w:t>5</w:t>
            </w:r>
          </w:p>
        </w:tc>
        <w:tc>
          <w:tcPr>
            <w:tcW w:type="dxa" w:w="792"/>
            <w:vAlign w:val="top"/>
          </w:tcPr>
          <w:p>
            <w:pPr>
              <w:spacing w:after="20" w:line="240" w:lineRule="auto"/>
            </w:pPr>
            <w:r>
              <w:rPr>
                <w:rFonts w:ascii="Arial" w:hAnsi="Arial"/>
                <w:b w:val="0"/>
                <w:color w:val="595959"/>
                <w:sz w:val="15"/>
              </w:rPr>
              <w:t>0.69</w:t>
            </w:r>
          </w:p>
        </w:tc>
        <w:tc>
          <w:tcPr>
            <w:tcW w:type="dxa" w:w="6048"/>
            <w:vAlign w:val="top"/>
          </w:tcPr>
          <w:p>
            <w:pPr>
              <w:spacing w:after="20" w:line="240" w:lineRule="auto"/>
            </w:pPr>
            <w:r>
              <w:rPr>
                <w:rFonts w:ascii="Arial" w:hAnsi="Arial"/>
                <w:b w:val="0"/>
                <w:color w:val="595959"/>
                <w:sz w:val="15"/>
              </w:rPr>
              <w:t>Reopening / Soft Landing received 5 mapped analogue(s), weighted support 10.680. Historical probability 10.7%; deterministic probability 47.1%; blended probability 36.2%.</w:t>
            </w:r>
          </w:p>
        </w:tc>
      </w:tr>
      <w:tr>
        <w:tc>
          <w:tcPr>
            <w:tcW w:type="dxa" w:w="1944"/>
            <w:shd w:fill="F7F9FC"/>
            <w:vAlign w:val="top"/>
          </w:tcPr>
          <w:p>
            <w:pPr>
              <w:spacing w:after="20" w:line="240" w:lineRule="auto"/>
            </w:pPr>
            <w:r>
              <w:rPr>
                <w:rFonts w:ascii="Arial" w:hAnsi="Arial"/>
                <w:b w:val="0"/>
                <w:color w:val="595959"/>
                <w:sz w:val="15"/>
              </w:rPr>
              <w:t>Sticky Late Cycle AI</w:t>
            </w:r>
          </w:p>
        </w:tc>
        <w:tc>
          <w:tcPr>
            <w:tcW w:type="dxa" w:w="1080"/>
            <w:shd w:fill="F7F9FC"/>
            <w:vAlign w:val="top"/>
          </w:tcPr>
          <w:p>
            <w:pPr>
              <w:spacing w:after="20" w:line="240" w:lineRule="auto"/>
            </w:pPr>
            <w:r>
              <w:rPr>
                <w:rFonts w:ascii="Arial" w:hAnsi="Arial"/>
                <w:b w:val="0"/>
                <w:color w:val="595959"/>
                <w:sz w:val="15"/>
              </w:rPr>
              <w:t>31.48%</w:t>
            </w:r>
          </w:p>
        </w:tc>
        <w:tc>
          <w:tcPr>
            <w:tcW w:type="dxa" w:w="1080"/>
            <w:shd w:fill="F7F9FC"/>
            <w:vAlign w:val="top"/>
          </w:tcPr>
          <w:p>
            <w:pPr>
              <w:spacing w:after="20" w:line="240" w:lineRule="auto"/>
            </w:pPr>
            <w:r>
              <w:rPr>
                <w:rFonts w:ascii="Arial" w:hAnsi="Arial"/>
                <w:b w:val="0"/>
                <w:color w:val="595959"/>
                <w:sz w:val="15"/>
              </w:rPr>
              <w:t>40.21%</w:t>
            </w:r>
          </w:p>
        </w:tc>
        <w:tc>
          <w:tcPr>
            <w:tcW w:type="dxa" w:w="1080"/>
            <w:shd w:fill="F7F9FC"/>
            <w:vAlign w:val="top"/>
          </w:tcPr>
          <w:p>
            <w:pPr>
              <w:spacing w:after="20" w:line="240" w:lineRule="auto"/>
            </w:pPr>
            <w:r>
              <w:rPr>
                <w:rFonts w:ascii="Arial" w:hAnsi="Arial"/>
                <w:b w:val="0"/>
                <w:color w:val="595959"/>
                <w:sz w:val="15"/>
              </w:rPr>
              <w:t>34.10%</w:t>
            </w:r>
          </w:p>
        </w:tc>
        <w:tc>
          <w:tcPr>
            <w:tcW w:type="dxa" w:w="936"/>
            <w:shd w:fill="F7F9FC"/>
            <w:vAlign w:val="top"/>
          </w:tcPr>
          <w:p>
            <w:pPr>
              <w:spacing w:after="20" w:line="240" w:lineRule="auto"/>
            </w:pPr>
            <w:r>
              <w:rPr>
                <w:rFonts w:ascii="Arial" w:hAnsi="Arial"/>
                <w:b w:val="0"/>
                <w:color w:val="595959"/>
                <w:sz w:val="15"/>
              </w:rPr>
              <w:t>2.62%</w:t>
            </w:r>
          </w:p>
        </w:tc>
        <w:tc>
          <w:tcPr>
            <w:tcW w:type="dxa" w:w="936"/>
            <w:shd w:fill="F7F9FC"/>
            <w:vAlign w:val="top"/>
          </w:tcPr>
          <w:p>
            <w:pPr>
              <w:spacing w:after="20" w:line="240" w:lineRule="auto"/>
            </w:pPr>
            <w:r>
              <w:rPr>
                <w:rFonts w:ascii="Arial" w:hAnsi="Arial"/>
                <w:b w:val="0"/>
                <w:color w:val="595959"/>
                <w:sz w:val="15"/>
              </w:rPr>
              <w:t>20</w:t>
            </w:r>
          </w:p>
        </w:tc>
        <w:tc>
          <w:tcPr>
            <w:tcW w:type="dxa" w:w="792"/>
            <w:shd w:fill="F7F9FC"/>
            <w:vAlign w:val="top"/>
          </w:tcPr>
          <w:p>
            <w:pPr>
              <w:spacing w:after="20" w:line="240" w:lineRule="auto"/>
            </w:pPr>
            <w:r>
              <w:rPr>
                <w:rFonts w:ascii="Arial" w:hAnsi="Arial"/>
                <w:b w:val="0"/>
                <w:color w:val="595959"/>
                <w:sz w:val="15"/>
              </w:rPr>
              <w:t>0.55</w:t>
            </w:r>
          </w:p>
        </w:tc>
        <w:tc>
          <w:tcPr>
            <w:tcW w:type="dxa" w:w="6048"/>
            <w:shd w:fill="F7F9FC"/>
            <w:vAlign w:val="top"/>
          </w:tcPr>
          <w:p>
            <w:pPr>
              <w:spacing w:after="20" w:line="240" w:lineRule="auto"/>
            </w:pPr>
            <w:r>
              <w:rPr>
                <w:rFonts w:ascii="Arial" w:hAnsi="Arial"/>
                <w:b w:val="0"/>
                <w:color w:val="595959"/>
                <w:sz w:val="15"/>
              </w:rPr>
              <w:t>Sticky Late Cycle AI received 20 mapped analogue(s), weighted support 40.175. Historical probability 40.2%; deterministic probability 31.5%; blended probability 34.1%.</w:t>
            </w:r>
          </w:p>
        </w:tc>
      </w:tr>
      <w:tr>
        <w:tc>
          <w:tcPr>
            <w:tcW w:type="dxa" w:w="1944"/>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8.90%</w:t>
            </w:r>
          </w:p>
        </w:tc>
        <w:tc>
          <w:tcPr>
            <w:tcW w:type="dxa" w:w="1080"/>
            <w:vAlign w:val="top"/>
          </w:tcPr>
          <w:p>
            <w:pPr>
              <w:spacing w:after="20" w:line="240" w:lineRule="auto"/>
            </w:pPr>
            <w:r>
              <w:rPr>
                <w:rFonts w:ascii="Arial" w:hAnsi="Arial"/>
                <w:b w:val="0"/>
                <w:color w:val="595959"/>
                <w:sz w:val="15"/>
              </w:rPr>
              <w:t>13.46%</w:t>
            </w:r>
          </w:p>
        </w:tc>
        <w:tc>
          <w:tcPr>
            <w:tcW w:type="dxa" w:w="1080"/>
            <w:vAlign w:val="top"/>
          </w:tcPr>
          <w:p>
            <w:pPr>
              <w:spacing w:after="20" w:line="240" w:lineRule="auto"/>
            </w:pPr>
            <w:r>
              <w:rPr>
                <w:rFonts w:ascii="Arial" w:hAnsi="Arial"/>
                <w:b w:val="0"/>
                <w:color w:val="595959"/>
                <w:sz w:val="15"/>
              </w:rPr>
              <w:t>10.26%</w:t>
            </w:r>
          </w:p>
        </w:tc>
        <w:tc>
          <w:tcPr>
            <w:tcW w:type="dxa" w:w="936"/>
            <w:vAlign w:val="top"/>
          </w:tcPr>
          <w:p>
            <w:pPr>
              <w:spacing w:after="20" w:line="240" w:lineRule="auto"/>
            </w:pPr>
            <w:r>
              <w:rPr>
                <w:rFonts w:ascii="Arial" w:hAnsi="Arial"/>
                <w:b w:val="0"/>
                <w:color w:val="595959"/>
                <w:sz w:val="15"/>
              </w:rPr>
              <w:t>1.37%</w:t>
            </w:r>
          </w:p>
        </w:tc>
        <w:tc>
          <w:tcPr>
            <w:tcW w:type="dxa" w:w="936"/>
            <w:vAlign w:val="top"/>
          </w:tcPr>
          <w:p>
            <w:pPr>
              <w:spacing w:after="20" w:line="240" w:lineRule="auto"/>
            </w:pPr>
            <w:r>
              <w:rPr>
                <w:rFonts w:ascii="Arial" w:hAnsi="Arial"/>
                <w:b w:val="0"/>
                <w:color w:val="595959"/>
                <w:sz w:val="15"/>
              </w:rPr>
              <w:t>6</w:t>
            </w:r>
          </w:p>
        </w:tc>
        <w:tc>
          <w:tcPr>
            <w:tcW w:type="dxa" w:w="792"/>
            <w:vAlign w:val="top"/>
          </w:tcPr>
          <w:p>
            <w:pPr>
              <w:spacing w:after="20" w:line="240" w:lineRule="auto"/>
            </w:pPr>
            <w:r>
              <w:rPr>
                <w:rFonts w:ascii="Arial" w:hAnsi="Arial"/>
                <w:b w:val="0"/>
                <w:color w:val="595959"/>
                <w:sz w:val="15"/>
              </w:rPr>
              <w:t>0.43</w:t>
            </w:r>
          </w:p>
        </w:tc>
        <w:tc>
          <w:tcPr>
            <w:tcW w:type="dxa" w:w="6048"/>
            <w:vAlign w:val="top"/>
          </w:tcPr>
          <w:p>
            <w:pPr>
              <w:spacing w:after="20" w:line="240" w:lineRule="auto"/>
            </w:pPr>
            <w:r>
              <w:rPr>
                <w:rFonts w:ascii="Arial" w:hAnsi="Arial"/>
                <w:b w:val="0"/>
                <w:color w:val="595959"/>
                <w:sz w:val="15"/>
              </w:rPr>
              <w:t>Oil Inflation Tail received 6 mapped analogue(s), weighted support 13.446. Historical probability 13.5%; deterministic probability 8.9%; blended probability 10.3%.</w:t>
            </w:r>
          </w:p>
        </w:tc>
      </w:tr>
      <w:tr>
        <w:tc>
          <w:tcPr>
            <w:tcW w:type="dxa" w:w="1944"/>
            <w:shd w:fill="F7F9FC"/>
            <w:vAlign w:val="top"/>
          </w:tcPr>
          <w:p>
            <w:pPr>
              <w:spacing w:after="20" w:line="240" w:lineRule="auto"/>
            </w:pPr>
            <w:r>
              <w:rPr>
                <w:rFonts w:ascii="Arial" w:hAnsi="Arial"/>
                <w:b w:val="0"/>
                <w:color w:val="595959"/>
                <w:sz w:val="15"/>
              </w:rPr>
              <w:t>AI Capex Rollover</w:t>
            </w:r>
          </w:p>
        </w:tc>
        <w:tc>
          <w:tcPr>
            <w:tcW w:type="dxa" w:w="1080"/>
            <w:shd w:fill="F7F9FC"/>
            <w:vAlign w:val="top"/>
          </w:tcPr>
          <w:p>
            <w:pPr>
              <w:spacing w:after="20" w:line="240" w:lineRule="auto"/>
            </w:pPr>
            <w:r>
              <w:rPr>
                <w:rFonts w:ascii="Arial" w:hAnsi="Arial"/>
                <w:b w:val="0"/>
                <w:color w:val="595959"/>
                <w:sz w:val="15"/>
              </w:rPr>
              <w:t>7.50%</w:t>
            </w:r>
          </w:p>
        </w:tc>
        <w:tc>
          <w:tcPr>
            <w:tcW w:type="dxa" w:w="1080"/>
            <w:shd w:fill="F7F9FC"/>
            <w:vAlign w:val="top"/>
          </w:tcPr>
          <w:p>
            <w:pPr>
              <w:spacing w:after="20" w:line="240" w:lineRule="auto"/>
            </w:pPr>
            <w:r>
              <w:rPr>
                <w:rFonts w:ascii="Arial" w:hAnsi="Arial"/>
                <w:b w:val="0"/>
                <w:color w:val="595959"/>
                <w:sz w:val="15"/>
              </w:rPr>
              <w:t>6.37%</w:t>
            </w:r>
          </w:p>
        </w:tc>
        <w:tc>
          <w:tcPr>
            <w:tcW w:type="dxa" w:w="1080"/>
            <w:shd w:fill="F7F9FC"/>
            <w:vAlign w:val="top"/>
          </w:tcPr>
          <w:p>
            <w:pPr>
              <w:spacing w:after="20" w:line="240" w:lineRule="auto"/>
            </w:pPr>
            <w:r>
              <w:rPr>
                <w:rFonts w:ascii="Arial" w:hAnsi="Arial"/>
                <w:b w:val="0"/>
                <w:color w:val="595959"/>
                <w:sz w:val="15"/>
              </w:rPr>
              <w:t>7.16%</w:t>
            </w:r>
          </w:p>
        </w:tc>
        <w:tc>
          <w:tcPr>
            <w:tcW w:type="dxa" w:w="936"/>
            <w:shd w:fill="F7F9FC"/>
            <w:vAlign w:val="top"/>
          </w:tcPr>
          <w:p>
            <w:pPr>
              <w:spacing w:after="20" w:line="240" w:lineRule="auto"/>
            </w:pPr>
            <w:r>
              <w:rPr>
                <w:rFonts w:ascii="Arial" w:hAnsi="Arial"/>
                <w:b w:val="0"/>
                <w:color w:val="C00000"/>
                <w:sz w:val="15"/>
              </w:rPr>
              <w:t>-0.34%</w:t>
            </w:r>
          </w:p>
        </w:tc>
        <w:tc>
          <w:tcPr>
            <w:tcW w:type="dxa" w:w="936"/>
            <w:shd w:fill="F7F9FC"/>
            <w:vAlign w:val="top"/>
          </w:tcPr>
          <w:p>
            <w:pPr>
              <w:spacing w:after="20" w:line="240" w:lineRule="auto"/>
            </w:pPr>
            <w:r>
              <w:rPr>
                <w:rFonts w:ascii="Arial" w:hAnsi="Arial"/>
                <w:b w:val="0"/>
                <w:color w:val="595959"/>
                <w:sz w:val="15"/>
              </w:rPr>
              <w:t>3</w:t>
            </w:r>
          </w:p>
        </w:tc>
        <w:tc>
          <w:tcPr>
            <w:tcW w:type="dxa" w:w="792"/>
            <w:shd w:fill="F7F9FC"/>
            <w:vAlign w:val="top"/>
          </w:tcPr>
          <w:p>
            <w:pPr>
              <w:spacing w:after="20" w:line="240" w:lineRule="auto"/>
            </w:pPr>
            <w:r>
              <w:rPr>
                <w:rFonts w:ascii="Arial" w:hAnsi="Arial"/>
                <w:b w:val="0"/>
                <w:color w:val="595959"/>
                <w:sz w:val="15"/>
              </w:rPr>
              <w:t>0.45</w:t>
            </w:r>
          </w:p>
        </w:tc>
        <w:tc>
          <w:tcPr>
            <w:tcW w:type="dxa" w:w="6048"/>
            <w:shd w:fill="F7F9FC"/>
            <w:vAlign w:val="top"/>
          </w:tcPr>
          <w:p>
            <w:pPr>
              <w:spacing w:after="20" w:line="240" w:lineRule="auto"/>
            </w:pPr>
            <w:r>
              <w:rPr>
                <w:rFonts w:ascii="Arial" w:hAnsi="Arial"/>
                <w:b w:val="0"/>
                <w:color w:val="595959"/>
                <w:sz w:val="15"/>
              </w:rPr>
              <w:t>AI Capex Rollover received 3 mapped analogue(s), weighted support 6.365. Historical probability 6.4%; deterministic probability 7.5%; blended probability 7.2%. Mapping confidence is structurally lower without explicit historical AI capex/theme labels.</w:t>
            </w:r>
          </w:p>
        </w:tc>
      </w:tr>
      <w:tr>
        <w:tc>
          <w:tcPr>
            <w:tcW w:type="dxa" w:w="1944"/>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5.00%</w:t>
            </w:r>
          </w:p>
        </w:tc>
        <w:tc>
          <w:tcPr>
            <w:tcW w:type="dxa" w:w="1080"/>
            <w:vAlign w:val="top"/>
          </w:tcPr>
          <w:p>
            <w:pPr>
              <w:spacing w:after="20" w:line="240" w:lineRule="auto"/>
            </w:pPr>
            <w:r>
              <w:rPr>
                <w:rFonts w:ascii="Arial" w:hAnsi="Arial"/>
                <w:b w:val="0"/>
                <w:color w:val="595959"/>
                <w:sz w:val="15"/>
              </w:rPr>
              <w:t>29.28%</w:t>
            </w:r>
          </w:p>
        </w:tc>
        <w:tc>
          <w:tcPr>
            <w:tcW w:type="dxa" w:w="1080"/>
            <w:vAlign w:val="top"/>
          </w:tcPr>
          <w:p>
            <w:pPr>
              <w:spacing w:after="20" w:line="240" w:lineRule="auto"/>
            </w:pPr>
            <w:r>
              <w:rPr>
                <w:rFonts w:ascii="Arial" w:hAnsi="Arial"/>
                <w:b w:val="0"/>
                <w:color w:val="595959"/>
                <w:sz w:val="15"/>
              </w:rPr>
              <w:t>12.28%</w:t>
            </w:r>
          </w:p>
        </w:tc>
        <w:tc>
          <w:tcPr>
            <w:tcW w:type="dxa" w:w="936"/>
            <w:vAlign w:val="top"/>
          </w:tcPr>
          <w:p>
            <w:pPr>
              <w:spacing w:after="20" w:line="240" w:lineRule="auto"/>
            </w:pPr>
            <w:r>
              <w:rPr>
                <w:rFonts w:ascii="Arial" w:hAnsi="Arial"/>
                <w:b w:val="0"/>
                <w:color w:val="595959"/>
                <w:sz w:val="15"/>
              </w:rPr>
              <w:t>7.28%</w:t>
            </w:r>
          </w:p>
        </w:tc>
        <w:tc>
          <w:tcPr>
            <w:tcW w:type="dxa" w:w="936"/>
            <w:vAlign w:val="top"/>
          </w:tcPr>
          <w:p>
            <w:pPr>
              <w:spacing w:after="20" w:line="240" w:lineRule="auto"/>
            </w:pPr>
            <w:r>
              <w:rPr>
                <w:rFonts w:ascii="Arial" w:hAnsi="Arial"/>
                <w:b w:val="0"/>
                <w:color w:val="595959"/>
                <w:sz w:val="15"/>
              </w:rPr>
              <w:t>14</w:t>
            </w:r>
          </w:p>
        </w:tc>
        <w:tc>
          <w:tcPr>
            <w:tcW w:type="dxa" w:w="792"/>
            <w:vAlign w:val="top"/>
          </w:tcPr>
          <w:p>
            <w:pPr>
              <w:spacing w:after="20" w:line="240" w:lineRule="auto"/>
            </w:pPr>
            <w:r>
              <w:rPr>
                <w:rFonts w:ascii="Arial" w:hAnsi="Arial"/>
                <w:b w:val="0"/>
                <w:color w:val="595959"/>
                <w:sz w:val="15"/>
              </w:rPr>
              <w:t>0.68</w:t>
            </w:r>
          </w:p>
        </w:tc>
        <w:tc>
          <w:tcPr>
            <w:tcW w:type="dxa" w:w="6048"/>
            <w:vAlign w:val="top"/>
          </w:tcPr>
          <w:p>
            <w:pPr>
              <w:spacing w:after="20" w:line="240" w:lineRule="auto"/>
            </w:pPr>
            <w:r>
              <w:rPr>
                <w:rFonts w:ascii="Arial" w:hAnsi="Arial"/>
                <w:b w:val="0"/>
                <w:color w:val="595959"/>
                <w:sz w:val="15"/>
              </w:rPr>
              <w:t>Late Cycle Risk-Off received 14 mapped analogue(s), weighted support 29.257. Historical probability 29.3%; deterministic probability 5.0%; blended probability 12.3%.</w:t>
            </w:r>
          </w:p>
        </w:tc>
      </w:tr>
    </w:tbl>
    <w:p>
      <w:pPr>
        <w:spacing w:after="120"/>
      </w:pPr>
    </w:p>
    <w:p>
      <w:r>
        <w:drawing>
          <wp:inline xmlns:a="http://schemas.openxmlformats.org/drawingml/2006/main" xmlns:pic="http://schemas.openxmlformats.org/drawingml/2006/picture">
            <wp:extent cx="5852160" cy="2426506"/>
            <wp:docPr id="6" name="Picture 6"/>
            <wp:cNvGraphicFramePr>
              <a:graphicFrameLocks noChangeAspect="1"/>
            </wp:cNvGraphicFramePr>
            <a:graphic>
              <a:graphicData uri="http://schemas.openxmlformats.org/drawingml/2006/picture">
                <pic:pic>
                  <pic:nvPicPr>
                    <pic:cNvPr id="0" name="scenario_calibration.png"/>
                    <pic:cNvPicPr/>
                  </pic:nvPicPr>
                  <pic:blipFill>
                    <a:blip r:embed="rId13"/>
                    <a:stretch>
                      <a:fillRect/>
                    </a:stretch>
                  </pic:blipFill>
                  <pic:spPr>
                    <a:xfrm>
                      <a:off x="0" y="0"/>
                      <a:ext cx="5852160" cy="2426506"/>
                    </a:xfrm>
                    <a:prstGeom prst="rect"/>
                  </pic:spPr>
                </pic:pic>
              </a:graphicData>
            </a:graphic>
          </wp:inline>
        </w:drawing>
      </w:r>
    </w:p>
    <w:p>
      <w:pPr>
        <w:spacing w:after="80"/>
      </w:pPr>
    </w:p>
    <w:p>
      <w:pPr>
        <w:spacing w:before="180" w:after="80"/>
      </w:pPr>
      <w:r>
        <w:rPr>
          <w:rFonts w:ascii="Arial" w:hAnsi="Arial"/>
          <w:b/>
          <w:color w:val="2E75B6"/>
          <w:sz w:val="21"/>
        </w:rPr>
        <w:t>Historical Calibration Methodology</w:t>
      </w:r>
    </w:p>
    <w:p>
      <w:pPr>
        <w:spacing w:after="40"/>
      </w:pPr>
      <w:r>
        <w:rPr>
          <w:rFonts w:ascii="Arial" w:hAnsi="Arial"/>
          <w:b w:val="0"/>
          <w:color w:val="595959"/>
          <w:sz w:val="17"/>
        </w:rPr>
        <w:t>Historical analogue calibration is a second-stage probability adjustment; deterministic input-signal math is retained unchanged.</w:t>
      </w:r>
    </w:p>
    <w:p>
      <w:pPr>
        <w:spacing w:after="40"/>
      </w:pPr>
      <w:r>
        <w:rPr>
          <w:rFonts w:ascii="Arial" w:hAnsi="Arial"/>
          <w:b w:val="0"/>
          <w:color w:val="595959"/>
          <w:sz w:val="17"/>
        </w:rPr>
        <w:t>Analogue-implied scenario probabilities are computed from weighted analogue counts after deterministic rule-based scenario mapping.</w:t>
      </w:r>
    </w:p>
    <w:p>
      <w:pPr>
        <w:spacing w:after="40"/>
      </w:pPr>
      <w:r>
        <w:rPr>
          <w:rFonts w:ascii="Arial" w:hAnsi="Arial"/>
          <w:b w:val="0"/>
          <w:color w:val="595959"/>
          <w:sz w:val="17"/>
        </w:rPr>
        <w:t>blended_probability_s = deterministic_weight × deterministic_probability_s + historical_weight × historical_probability_s</w:t>
      </w:r>
    </w:p>
    <w:p>
      <w:pPr>
        <w:spacing w:after="40"/>
      </w:pPr>
      <w:r>
        <w:rPr>
          <w:rFonts w:ascii="Arial" w:hAnsi="Arial"/>
          <w:b w:val="0"/>
          <w:color w:val="595959"/>
          <w:sz w:val="17"/>
        </w:rPr>
        <w:t>Blended probabilities are renormalized and then used to recompute theme, sector, and factor rankings when calibration is enabled.</w:t>
      </w:r>
    </w:p>
    <w:p>
      <w:pPr>
        <w:spacing w:after="40"/>
      </w:pPr>
      <w:r>
        <w:rPr>
          <w:rFonts w:ascii="Arial" w:hAnsi="Arial"/>
          <w:b w:val="0"/>
          <w:color w:val="595959"/>
          <w:sz w:val="17"/>
        </w:rPr>
        <w:t>The current/as-of market state is assigned full analogue lookup weight. Prior lookback days are included to capture path context and are exponentially downweighted.</w:t>
      </w:r>
    </w:p>
    <w:p>
      <w:pPr>
        <w:spacing w:after="40"/>
      </w:pPr>
      <w:r>
        <w:rPr>
          <w:rFonts w:ascii="Arial" w:hAnsi="Arial"/>
          <w:b w:val="0"/>
          <w:color w:val="595959"/>
          <w:sz w:val="17"/>
        </w:rPr>
        <w:t>Historical scenario mapping is approximate until the historical feature store includes explicit scenario labels and theme/basket forward returns.</w:t>
      </w:r>
    </w:p>
    <w:p>
      <w:pPr>
        <w:spacing w:after="40"/>
      </w:pPr>
      <w:r>
        <w:rPr>
          <w:rFonts w:ascii="Arial" w:hAnsi="Arial"/>
          <w:b w:val="0"/>
          <w:color w:val="595959"/>
          <w:sz w:val="17"/>
        </w:rPr>
        <w:t>AI capex rollover and oil-tail mappings are lower confidence when explicit AI, semis, oil, or commodity forward features are unavailable.</w:t>
      </w:r>
    </w:p>
    <w:p>
      <w:pPr>
        <w:spacing w:after="40"/>
      </w:pPr>
      <w:r>
        <w:rPr>
          <w:rFonts w:ascii="Arial" w:hAnsi="Arial"/>
          <w:b w:val="0"/>
          <w:color w:val="595959"/>
          <w:sz w:val="17"/>
        </w:rPr>
        <w:t>Shock-window filtering removes horizon-specific forward returns whose forward windows overlap configured exogenous shock periods.</w:t>
      </w:r>
    </w:p>
    <w:p>
      <w:pPr>
        <w:spacing w:before="320" w:after="140"/>
      </w:pPr>
      <w:r>
        <w:rPr>
          <w:rFonts w:ascii="Arial" w:hAnsi="Arial"/>
          <w:b/>
          <w:color w:val="1F4E79"/>
          <w:sz w:val="28"/>
        </w:rPr>
        <w:t>Forecast Input Set</w:t>
      </w:r>
    </w:p>
    <w:p>
      <w:pPr>
        <w:spacing w:after="40"/>
      </w:pPr>
      <w:r>
        <w:rPr>
          <w:rFonts w:ascii="Arial" w:hAnsi="Arial"/>
          <w:b w:val="0"/>
          <w:color w:val="595959"/>
          <w:sz w:val="17"/>
        </w:rPr>
        <w:t>Thematic agent current-regime YAML saved to: data/agent_system/reports/macro_forecasts/current_regime_2026-06-05_072450.yaml</w:t>
      </w:r>
    </w:p>
    <w:p>
      <w:pPr>
        <w:spacing w:after="40"/>
      </w:pPr>
      <w:r>
        <w:rPr>
          <w:rFonts w:ascii="Arial" w:hAnsi="Arial"/>
          <w:b w:val="0"/>
          <w:color w:val="595959"/>
          <w:sz w:val="17"/>
        </w:rPr>
        <w:t>Full input diagnostic matrix saved to: data/agent_system/diagnostics/input_matrix_2026-06-05.csv</w:t>
      </w:r>
    </w:p>
    <w:p>
      <w:pPr>
        <w:spacing w:after="40"/>
      </w:pPr>
      <w:r>
        <w:rPr>
          <w:rFonts w:ascii="Arial" w:hAnsi="Arial"/>
          <w:b w:val="0"/>
          <w:color w:val="595959"/>
          <w:sz w:val="17"/>
        </w:rPr>
        <w:t>Full input ingestion audit saved to: data/agent_system/diagnostics/input_ingestion_audit_2026-06-05.csv</w:t>
      </w:r>
    </w:p>
    <w:p>
      <w:pPr>
        <w:spacing w:before="180" w:after="80"/>
      </w:pPr>
      <w:r>
        <w:rPr>
          <w:rFonts w:ascii="Arial" w:hAnsi="Arial"/>
          <w:b/>
          <w:color w:val="2E75B6"/>
          <w:sz w:val="21"/>
        </w:rPr>
        <w:t>Input Audit Warnings</w:t>
      </w:r>
    </w:p>
    <w:p>
      <w:pPr>
        <w:spacing w:after="40"/>
      </w:pPr>
      <w:r>
        <w:rPr>
          <w:rFonts w:ascii="Arial" w:hAnsi="Arial"/>
          <w:b w:val="0"/>
          <w:color w:val="595959"/>
          <w:sz w:val="17"/>
        </w:rPr>
        <w:t>put_call_ratio source unresolved; do not interpret as Cboe equity put/call.</w:t>
      </w:r>
    </w:p>
    <w:p>
      <w:pPr>
        <w:spacing w:before="180" w:after="80"/>
      </w:pPr>
      <w:r>
        <w:rPr>
          <w:rFonts w:ascii="Arial" w:hAnsi="Arial"/>
          <w:b/>
          <w:color w:val="2E75B6"/>
          <w:sz w:val="21"/>
        </w:rPr>
        <w:t>Forecast Input Warnings</w:t>
      </w:r>
    </w:p>
    <w:p>
      <w:pPr>
        <w:spacing w:after="40"/>
      </w:pPr>
      <w:r>
        <w:rPr>
          <w:rFonts w:ascii="Arial" w:hAnsi="Arial"/>
          <w:b w:val="0"/>
          <w:color w:val="595959"/>
          <w:sz w:val="17"/>
        </w:rPr>
        <w:t>Volatility raw input coverage incomplete; missing: put_call_ratio.</w:t>
      </w:r>
    </w:p>
    <w:p>
      <w:pPr>
        <w:spacing w:before="180" w:after="80"/>
      </w:pPr>
      <w:r>
        <w:rPr>
          <w:rFonts w:ascii="Arial" w:hAnsi="Arial"/>
          <w:b/>
          <w:color w:val="2E75B6"/>
          <w:sz w:val="21"/>
        </w:rPr>
        <w:t>Input Provenance Summary</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872"/>
            <w:shd w:fill="1F4E79"/>
            <w:vAlign w:val="top"/>
          </w:tcPr>
          <w:p>
            <w:pPr>
              <w:spacing w:after="20" w:line="240" w:lineRule="auto"/>
            </w:pPr>
            <w:r>
              <w:rPr>
                <w:rFonts w:ascii="Arial" w:hAnsi="Arial"/>
                <w:b/>
                <w:color w:val="FFFFFF"/>
                <w:sz w:val="15"/>
              </w:rPr>
              <w:t>Input</w:t>
            </w:r>
          </w:p>
        </w:tc>
        <w:tc>
          <w:tcPr>
            <w:tcW w:type="dxa" w:w="936"/>
            <w:shd w:fill="1F4E79"/>
            <w:vAlign w:val="top"/>
          </w:tcPr>
          <w:p>
            <w:pPr>
              <w:spacing w:after="20" w:line="240" w:lineRule="auto"/>
            </w:pPr>
            <w:r>
              <w:rPr>
                <w:rFonts w:ascii="Arial" w:hAnsi="Arial"/>
                <w:b/>
                <w:color w:val="FFFFFF"/>
                <w:sz w:val="15"/>
              </w:rPr>
              <w:t>Value</w:t>
            </w:r>
          </w:p>
        </w:tc>
        <w:tc>
          <w:tcPr>
            <w:tcW w:type="dxa" w:w="2952"/>
            <w:shd w:fill="1F4E79"/>
            <w:vAlign w:val="top"/>
          </w:tcPr>
          <w:p>
            <w:pPr>
              <w:spacing w:after="20" w:line="240" w:lineRule="auto"/>
            </w:pPr>
            <w:r>
              <w:rPr>
                <w:rFonts w:ascii="Arial" w:hAnsi="Arial"/>
                <w:b/>
                <w:color w:val="FFFFFF"/>
                <w:sz w:val="15"/>
              </w:rPr>
              <w:t>Source</w:t>
            </w:r>
          </w:p>
        </w:tc>
        <w:tc>
          <w:tcPr>
            <w:tcW w:type="dxa" w:w="1008"/>
            <w:shd w:fill="1F4E79"/>
            <w:vAlign w:val="top"/>
          </w:tcPr>
          <w:p>
            <w:pPr>
              <w:spacing w:after="20" w:line="240" w:lineRule="auto"/>
            </w:pPr>
            <w:r>
              <w:rPr>
                <w:rFonts w:ascii="Arial" w:hAnsi="Arial"/>
                <w:b/>
                <w:color w:val="FFFFFF"/>
                <w:sz w:val="15"/>
              </w:rPr>
              <w:t>Observed Date</w:t>
            </w:r>
          </w:p>
        </w:tc>
        <w:tc>
          <w:tcPr>
            <w:tcW w:type="dxa" w:w="1728"/>
            <w:shd w:fill="1F4E79"/>
            <w:vAlign w:val="top"/>
          </w:tcPr>
          <w:p>
            <w:pPr>
              <w:spacing w:after="20" w:line="240" w:lineRule="auto"/>
            </w:pPr>
            <w:r>
              <w:rPr>
                <w:rFonts w:ascii="Arial" w:hAnsi="Arial"/>
                <w:b/>
                <w:color w:val="FFFFFF"/>
                <w:sz w:val="15"/>
              </w:rPr>
              <w:t>Lookback</w:t>
            </w:r>
          </w:p>
        </w:tc>
        <w:tc>
          <w:tcPr>
            <w:tcW w:type="dxa" w:w="1080"/>
            <w:shd w:fill="1F4E79"/>
            <w:vAlign w:val="top"/>
          </w:tcPr>
          <w:p>
            <w:pPr>
              <w:spacing w:after="20" w:line="240" w:lineRule="auto"/>
            </w:pPr>
            <w:r>
              <w:rPr>
                <w:rFonts w:ascii="Arial" w:hAnsi="Arial"/>
                <w:b/>
                <w:color w:val="FFFFFF"/>
                <w:sz w:val="15"/>
              </w:rPr>
              <w:t>Freshness</w:t>
            </w:r>
          </w:p>
        </w:tc>
        <w:tc>
          <w:tcPr>
            <w:tcW w:type="dxa" w:w="4176"/>
            <w:shd w:fill="1F4E79"/>
            <w:vAlign w:val="top"/>
          </w:tcPr>
          <w:p>
            <w:pPr>
              <w:spacing w:after="20" w:line="240" w:lineRule="auto"/>
            </w:pPr>
            <w:r>
              <w:rPr>
                <w:rFonts w:ascii="Arial" w:hAnsi="Arial"/>
                <w:b/>
                <w:color w:val="FFFFFF"/>
                <w:sz w:val="15"/>
              </w:rPr>
              <w:t>Audit Status</w:t>
            </w:r>
          </w:p>
        </w:tc>
      </w:tr>
      <w:tr>
        <w:tc>
          <w:tcPr>
            <w:tcW w:type="dxa" w:w="1872"/>
            <w:vAlign w:val="top"/>
          </w:tcPr>
          <w:p>
            <w:pPr>
              <w:spacing w:after="20" w:line="240" w:lineRule="auto"/>
            </w:pPr>
            <w:r>
              <w:rPr>
                <w:rFonts w:ascii="Arial" w:hAnsi="Arial"/>
                <w:b w:val="0"/>
                <w:color w:val="595959"/>
                <w:sz w:val="15"/>
              </w:rPr>
              <w:t>VIX level</w:t>
            </w:r>
          </w:p>
        </w:tc>
        <w:tc>
          <w:tcPr>
            <w:tcW w:type="dxa" w:w="936"/>
            <w:vAlign w:val="top"/>
          </w:tcPr>
          <w:p>
            <w:pPr>
              <w:spacing w:after="20" w:line="240" w:lineRule="auto"/>
            </w:pPr>
            <w:r>
              <w:rPr>
                <w:rFonts w:ascii="Arial" w:hAnsi="Arial"/>
                <w:b w:val="0"/>
                <w:color w:val="595959"/>
                <w:sz w:val="15"/>
              </w:rPr>
              <w:t>21.51</w:t>
            </w:r>
          </w:p>
        </w:tc>
        <w:tc>
          <w:tcPr>
            <w:tcW w:type="dxa" w:w="2952"/>
            <w:vAlign w:val="top"/>
          </w:tcPr>
          <w:p>
            <w:pPr>
              <w:spacing w:after="20" w:line="240" w:lineRule="auto"/>
            </w:pPr>
            <w:r>
              <w:rPr>
                <w:rFonts w:ascii="Arial" w:hAnsi="Arial"/>
                <w:b w:val="0"/>
                <w:color w:val="595959"/>
                <w:sz w:val="15"/>
              </w:rPr>
              <w:t>RegimeInputs volatility data fetch.RegimeInputs.vix_level</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VIX term slope</w:t>
            </w:r>
          </w:p>
        </w:tc>
        <w:tc>
          <w:tcPr>
            <w:tcW w:type="dxa" w:w="936"/>
            <w:shd w:fill="F7F9FC"/>
            <w:vAlign w:val="top"/>
          </w:tcPr>
          <w:p>
            <w:pPr>
              <w:spacing w:after="20" w:line="240" w:lineRule="auto"/>
            </w:pPr>
            <w:r>
              <w:rPr>
                <w:rFonts w:ascii="Arial" w:hAnsi="Arial"/>
                <w:b w:val="0"/>
                <w:color w:val="595959"/>
                <w:sz w:val="15"/>
              </w:rPr>
              <w:t>0.31</w:t>
            </w:r>
          </w:p>
        </w:tc>
        <w:tc>
          <w:tcPr>
            <w:tcW w:type="dxa" w:w="2952"/>
            <w:shd w:fill="F7F9FC"/>
            <w:vAlign w:val="top"/>
          </w:tcPr>
          <w:p>
            <w:pPr>
              <w:spacing w:after="20" w:line="240" w:lineRule="auto"/>
            </w:pPr>
            <w:r>
              <w:rPr>
                <w:rFonts w:ascii="Arial" w:hAnsi="Arial"/>
                <w:b w:val="0"/>
                <w:color w:val="595959"/>
                <w:sz w:val="15"/>
              </w:rPr>
              <w:t>RegimeInputs volatility data fetch.RegimeInputs.vix_term_slope</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current VIX3M - VIX</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Put/call ratio</w:t>
            </w:r>
          </w:p>
        </w:tc>
        <w:tc>
          <w:tcPr>
            <w:tcW w:type="dxa" w:w="936"/>
            <w:vAlign w:val="top"/>
          </w:tcPr>
          <w:p>
            <w:pPr>
              <w:spacing w:after="20" w:line="240" w:lineRule="auto"/>
            </w:pPr>
            <w:r>
              <w:rPr>
                <w:rFonts w:ascii="Arial" w:hAnsi="Arial"/>
                <w:b w:val="0"/>
                <w:color w:val="595959"/>
                <w:sz w:val="15"/>
              </w:rPr>
              <w:t>n/a</w:t>
            </w:r>
          </w:p>
        </w:tc>
        <w:tc>
          <w:tcPr>
            <w:tcW w:type="dxa" w:w="2952"/>
            <w:vAlign w:val="top"/>
          </w:tcPr>
          <w:p>
            <w:pPr>
              <w:spacing w:after="20" w:line="240" w:lineRule="auto"/>
            </w:pPr>
            <w:r>
              <w:rPr>
                <w:rFonts w:ascii="Arial" w:hAnsi="Arial"/>
                <w:b w:val="0"/>
                <w:color w:val="595959"/>
                <w:sz w:val="15"/>
              </w:rPr>
              <w:t>Internal generic put/call input</w:t>
            </w:r>
          </w:p>
        </w:tc>
        <w:tc>
          <w:tcPr>
            <w:tcW w:type="dxa" w:w="1008"/>
            <w:vAlign w:val="top"/>
          </w:tcPr>
          <w:p>
            <w:pPr>
              <w:spacing w:after="20" w:line="240" w:lineRule="auto"/>
            </w:pPr>
            <w:r>
              <w:rPr>
                <w:rFonts w:ascii="Arial" w:hAnsi="Arial"/>
                <w:b w:val="0"/>
                <w:color w:val="595959"/>
                <w:sz w:val="15"/>
              </w:rPr>
              <w:t>?</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unknown</w:t>
            </w:r>
          </w:p>
        </w:tc>
        <w:tc>
          <w:tcPr>
            <w:tcW w:type="dxa" w:w="4176"/>
            <w:vAlign w:val="top"/>
          </w:tcPr>
          <w:p>
            <w:pPr>
              <w:spacing w:after="20" w:line="240" w:lineRule="auto"/>
            </w:pPr>
            <w:r>
              <w:rPr>
                <w:rFonts w:ascii="Arial" w:hAnsi="Arial"/>
                <w:b w:val="0"/>
                <w:color w:val="595959"/>
                <w:sz w:val="15"/>
              </w:rPr>
              <w:t>missing_current_value;source_ambiguous</w:t>
            </w:r>
          </w:p>
        </w:tc>
      </w:tr>
      <w:tr>
        <w:tc>
          <w:tcPr>
            <w:tcW w:type="dxa" w:w="1872"/>
            <w:shd w:fill="F7F9FC"/>
            <w:vAlign w:val="top"/>
          </w:tcPr>
          <w:p>
            <w:pPr>
              <w:spacing w:after="20" w:line="240" w:lineRule="auto"/>
            </w:pPr>
            <w:r>
              <w:rPr>
                <w:rFonts w:ascii="Arial" w:hAnsi="Arial"/>
                <w:b w:val="0"/>
                <w:color w:val="595959"/>
                <w:sz w:val="15"/>
              </w:rPr>
              <w:t>Put/call 5D average</w:t>
            </w:r>
          </w:p>
        </w:tc>
        <w:tc>
          <w:tcPr>
            <w:tcW w:type="dxa" w:w="936"/>
            <w:shd w:fill="F7F9FC"/>
            <w:vAlign w:val="top"/>
          </w:tcPr>
          <w:p>
            <w:pPr>
              <w:spacing w:after="20" w:line="240" w:lineRule="auto"/>
            </w:pPr>
            <w:r>
              <w:rPr>
                <w:rFonts w:ascii="Arial" w:hAnsi="Arial"/>
                <w:b w:val="0"/>
                <w:color w:val="595959"/>
                <w:sz w:val="15"/>
              </w:rPr>
              <w:t>n/a</w:t>
            </w:r>
          </w:p>
        </w:tc>
        <w:tc>
          <w:tcPr>
            <w:tcW w:type="dxa" w:w="2952"/>
            <w:shd w:fill="F7F9FC"/>
            <w:vAlign w:val="top"/>
          </w:tcPr>
          <w:p>
            <w:pPr>
              <w:spacing w:after="20" w:line="240" w:lineRule="auto"/>
            </w:pPr>
            <w:r>
              <w:rPr>
                <w:rFonts w:ascii="Arial" w:hAnsi="Arial"/>
                <w:b w:val="0"/>
                <w:color w:val="595959"/>
                <w:sz w:val="15"/>
              </w:rPr>
              <w:t>Internal generic put/call input</w:t>
            </w:r>
          </w:p>
        </w:tc>
        <w:tc>
          <w:tcPr>
            <w:tcW w:type="dxa" w:w="1008"/>
            <w:shd w:fill="F7F9FC"/>
            <w:vAlign w:val="top"/>
          </w:tcPr>
          <w:p>
            <w:pPr>
              <w:spacing w:after="20" w:line="240" w:lineRule="auto"/>
            </w:pPr>
            <w:r>
              <w:rPr>
                <w:rFonts w:ascii="Arial" w:hAnsi="Arial"/>
                <w:b w:val="0"/>
                <w:color w:val="595959"/>
                <w:sz w:val="15"/>
              </w:rPr>
              <w:t>?</w:t>
            </w:r>
          </w:p>
        </w:tc>
        <w:tc>
          <w:tcPr>
            <w:tcW w:type="dxa" w:w="1728"/>
            <w:shd w:fill="F7F9FC"/>
            <w:vAlign w:val="top"/>
          </w:tcPr>
          <w:p>
            <w:pPr>
              <w:spacing w:after="20" w:line="240" w:lineRule="auto"/>
            </w:pPr>
            <w:r>
              <w:rPr>
                <w:rFonts w:ascii="Arial" w:hAnsi="Arial"/>
                <w:b w:val="0"/>
                <w:color w:val="595959"/>
                <w:sz w:val="15"/>
              </w:rPr>
              <w:t>5 trading days</w:t>
            </w:r>
          </w:p>
        </w:tc>
        <w:tc>
          <w:tcPr>
            <w:tcW w:type="dxa" w:w="1080"/>
            <w:shd w:fill="F7F9FC"/>
            <w:vAlign w:val="top"/>
          </w:tcPr>
          <w:p>
            <w:pPr>
              <w:spacing w:after="20" w:line="240" w:lineRule="auto"/>
            </w:pPr>
            <w:r>
              <w:rPr>
                <w:rFonts w:ascii="Arial" w:hAnsi="Arial"/>
                <w:b w:val="0"/>
                <w:color w:val="595959"/>
                <w:sz w:val="15"/>
              </w:rPr>
              <w:t>unknown</w:t>
            </w:r>
          </w:p>
        </w:tc>
        <w:tc>
          <w:tcPr>
            <w:tcW w:type="dxa" w:w="4176"/>
            <w:shd w:fill="F7F9FC"/>
            <w:vAlign w:val="top"/>
          </w:tcPr>
          <w:p>
            <w:pPr>
              <w:spacing w:after="20" w:line="240" w:lineRule="auto"/>
            </w:pPr>
            <w:r>
              <w:rPr>
                <w:rFonts w:ascii="Arial" w:hAnsi="Arial"/>
                <w:b w:val="0"/>
                <w:color w:val="595959"/>
                <w:sz w:val="15"/>
              </w:rPr>
              <w:t>missing_current_value;source_ambiguous</w:t>
            </w:r>
          </w:p>
        </w:tc>
      </w:tr>
      <w:tr>
        <w:tc>
          <w:tcPr>
            <w:tcW w:type="dxa" w:w="1872"/>
            <w:vAlign w:val="top"/>
          </w:tcPr>
          <w:p>
            <w:pPr>
              <w:spacing w:after="20" w:line="240" w:lineRule="auto"/>
            </w:pPr>
            <w:r>
              <w:rPr>
                <w:rFonts w:ascii="Arial" w:hAnsi="Arial"/>
                <w:b w:val="0"/>
                <w:color w:val="595959"/>
                <w:sz w:val="15"/>
              </w:rPr>
              <w:t>HY spread level</w:t>
            </w:r>
          </w:p>
        </w:tc>
        <w:tc>
          <w:tcPr>
            <w:tcW w:type="dxa" w:w="936"/>
            <w:vAlign w:val="top"/>
          </w:tcPr>
          <w:p>
            <w:pPr>
              <w:spacing w:after="20" w:line="240" w:lineRule="auto"/>
            </w:pPr>
            <w:r>
              <w:rPr>
                <w:rFonts w:ascii="Arial" w:hAnsi="Arial"/>
                <w:b w:val="0"/>
                <w:color w:val="595959"/>
                <w:sz w:val="15"/>
              </w:rPr>
              <w:t>276.00</w:t>
            </w:r>
          </w:p>
        </w:tc>
        <w:tc>
          <w:tcPr>
            <w:tcW w:type="dxa" w:w="2952"/>
            <w:vAlign w:val="top"/>
          </w:tcPr>
          <w:p>
            <w:pPr>
              <w:spacing w:after="20" w:line="240" w:lineRule="auto"/>
            </w:pPr>
            <w:r>
              <w:rPr>
                <w:rFonts w:ascii="Arial" w:hAnsi="Arial"/>
                <w:b w:val="0"/>
                <w:color w:val="595959"/>
                <w:sz w:val="15"/>
              </w:rPr>
              <w:t>RegimeInputs credit spread data fetch.RegimeInputs.hy_spread_level</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IG spread level</w:t>
            </w:r>
          </w:p>
        </w:tc>
        <w:tc>
          <w:tcPr>
            <w:tcW w:type="dxa" w:w="936"/>
            <w:shd w:fill="F7F9FC"/>
            <w:vAlign w:val="top"/>
          </w:tcPr>
          <w:p>
            <w:pPr>
              <w:spacing w:after="20" w:line="240" w:lineRule="auto"/>
            </w:pPr>
            <w:r>
              <w:rPr>
                <w:rFonts w:ascii="Arial" w:hAnsi="Arial"/>
                <w:b w:val="0"/>
                <w:color w:val="595959"/>
                <w:sz w:val="15"/>
              </w:rPr>
              <w:t>74.00</w:t>
            </w:r>
          </w:p>
        </w:tc>
        <w:tc>
          <w:tcPr>
            <w:tcW w:type="dxa" w:w="2952"/>
            <w:shd w:fill="F7F9FC"/>
            <w:vAlign w:val="top"/>
          </w:tcPr>
          <w:p>
            <w:pPr>
              <w:spacing w:after="20" w:line="240" w:lineRule="auto"/>
            </w:pPr>
            <w:r>
              <w:rPr>
                <w:rFonts w:ascii="Arial" w:hAnsi="Arial"/>
                <w:b w:val="0"/>
                <w:color w:val="595959"/>
                <w:sz w:val="15"/>
              </w:rPr>
              <w:t>RegimeInputs credit spread data fetch.RegimeInputs.ig_spread_level</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RSP minus SPY</w:t>
            </w:r>
          </w:p>
        </w:tc>
        <w:tc>
          <w:tcPr>
            <w:tcW w:type="dxa" w:w="936"/>
            <w:vAlign w:val="top"/>
          </w:tcPr>
          <w:p>
            <w:pPr>
              <w:spacing w:after="20" w:line="240" w:lineRule="auto"/>
            </w:pPr>
            <w:r>
              <w:rPr>
                <w:rFonts w:ascii="Arial" w:hAnsi="Arial"/>
                <w:b w:val="0"/>
                <w:color w:val="C00000"/>
                <w:sz w:val="15"/>
              </w:rPr>
              <w:t>-2.83</w:t>
            </w:r>
          </w:p>
        </w:tc>
        <w:tc>
          <w:tcPr>
            <w:tcW w:type="dxa" w:w="2952"/>
            <w:vAlign w:val="top"/>
          </w:tcPr>
          <w:p>
            <w:pPr>
              <w:spacing w:after="20" w:line="240" w:lineRule="auto"/>
            </w:pPr>
            <w:r>
              <w:rPr>
                <w:rFonts w:ascii="Arial" w:hAnsi="Arial"/>
                <w:b w:val="0"/>
                <w:color w:val="595959"/>
                <w:sz w:val="15"/>
              </w:rPr>
              <w:t>MarketState cross-asset/tape builder.MarketState.rsp_minus_spy</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3M / 63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HYG minus TLT</w:t>
            </w:r>
          </w:p>
        </w:tc>
        <w:tc>
          <w:tcPr>
            <w:tcW w:type="dxa" w:w="936"/>
            <w:shd w:fill="F7F9FC"/>
            <w:vAlign w:val="top"/>
          </w:tcPr>
          <w:p>
            <w:pPr>
              <w:spacing w:after="20" w:line="240" w:lineRule="auto"/>
            </w:pPr>
            <w:r>
              <w:rPr>
                <w:rFonts w:ascii="Arial" w:hAnsi="Arial"/>
                <w:b w:val="0"/>
                <w:color w:val="595959"/>
                <w:sz w:val="15"/>
              </w:rPr>
              <w:t>1.75</w:t>
            </w:r>
          </w:p>
        </w:tc>
        <w:tc>
          <w:tcPr>
            <w:tcW w:type="dxa" w:w="2952"/>
            <w:shd w:fill="F7F9FC"/>
            <w:vAlign w:val="top"/>
          </w:tcPr>
          <w:p>
            <w:pPr>
              <w:spacing w:after="20" w:line="240" w:lineRule="auto"/>
            </w:pPr>
            <w:r>
              <w:rPr>
                <w:rFonts w:ascii="Arial" w:hAnsi="Arial"/>
                <w:b w:val="0"/>
                <w:color w:val="595959"/>
                <w:sz w:val="15"/>
              </w:rPr>
              <w:t>MarketState cross-asset/tape builder.MarketState.hyg_minus_tlt</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 above 200D</w:t>
            </w:r>
          </w:p>
        </w:tc>
        <w:tc>
          <w:tcPr>
            <w:tcW w:type="dxa" w:w="936"/>
            <w:vAlign w:val="top"/>
          </w:tcPr>
          <w:p>
            <w:pPr>
              <w:spacing w:after="20" w:line="240" w:lineRule="auto"/>
            </w:pPr>
            <w:r>
              <w:rPr>
                <w:rFonts w:ascii="Arial" w:hAnsi="Arial"/>
                <w:b w:val="0"/>
                <w:color w:val="595959"/>
                <w:sz w:val="15"/>
              </w:rPr>
              <w:t>81.80</w:t>
            </w:r>
          </w:p>
        </w:tc>
        <w:tc>
          <w:tcPr>
            <w:tcW w:type="dxa" w:w="2952"/>
            <w:vAlign w:val="top"/>
          </w:tcPr>
          <w:p>
            <w:pPr>
              <w:spacing w:after="20" w:line="240" w:lineRule="auto"/>
            </w:pPr>
            <w:r>
              <w:rPr>
                <w:rFonts w:ascii="Arial" w:hAnsi="Arial"/>
                <w:b w:val="0"/>
                <w:color w:val="595959"/>
                <w:sz w:val="15"/>
              </w:rPr>
              <w:t>RegimeInputs.RegimeInputs.pct_above_200d</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200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Sectors green</w:t>
            </w:r>
          </w:p>
        </w:tc>
        <w:tc>
          <w:tcPr>
            <w:tcW w:type="dxa" w:w="936"/>
            <w:shd w:fill="F7F9FC"/>
            <w:vAlign w:val="top"/>
          </w:tcPr>
          <w:p>
            <w:pPr>
              <w:spacing w:after="20" w:line="240" w:lineRule="auto"/>
            </w:pPr>
            <w:r>
              <w:rPr>
                <w:rFonts w:ascii="Arial" w:hAnsi="Arial"/>
                <w:b w:val="0"/>
                <w:color w:val="595959"/>
                <w:sz w:val="15"/>
              </w:rPr>
              <w:t>5.00</w:t>
            </w:r>
          </w:p>
        </w:tc>
        <w:tc>
          <w:tcPr>
            <w:tcW w:type="dxa" w:w="2952"/>
            <w:shd w:fill="F7F9FC"/>
            <w:vAlign w:val="top"/>
          </w:tcPr>
          <w:p>
            <w:pPr>
              <w:spacing w:after="20" w:line="240" w:lineRule="auto"/>
            </w:pPr>
            <w:r>
              <w:rPr>
                <w:rFonts w:ascii="Arial" w:hAnsi="Arial"/>
                <w:b w:val="0"/>
                <w:color w:val="595959"/>
                <w:sz w:val="15"/>
              </w:rPr>
              <w:t>RegimeInputs.RegimeInputs.sectors_green</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Net liquidity z-score</w:t>
            </w:r>
          </w:p>
        </w:tc>
        <w:tc>
          <w:tcPr>
            <w:tcW w:type="dxa" w:w="936"/>
            <w:vAlign w:val="top"/>
          </w:tcPr>
          <w:p>
            <w:pPr>
              <w:spacing w:after="20" w:line="240" w:lineRule="auto"/>
            </w:pPr>
            <w:r>
              <w:rPr>
                <w:rFonts w:ascii="Arial" w:hAnsi="Arial"/>
                <w:b w:val="0"/>
                <w:color w:val="C00000"/>
                <w:sz w:val="15"/>
              </w:rPr>
              <w:t>-0.24</w:t>
            </w:r>
          </w:p>
        </w:tc>
        <w:tc>
          <w:tcPr>
            <w:tcW w:type="dxa" w:w="2952"/>
            <w:vAlign w:val="top"/>
          </w:tcPr>
          <w:p>
            <w:pPr>
              <w:spacing w:after="20" w:line="240" w:lineRule="auto"/>
            </w:pPr>
            <w:r>
              <w:rPr>
                <w:rFonts w:ascii="Arial" w:hAnsi="Arial"/>
                <w:b w:val="0"/>
                <w:color w:val="595959"/>
                <w:sz w:val="15"/>
              </w:rPr>
              <w:t>RegimeInputs macro data fetch.RegimeInputs.net_liquidity_z</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52 weeks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NFCI level</w:t>
            </w:r>
          </w:p>
        </w:tc>
        <w:tc>
          <w:tcPr>
            <w:tcW w:type="dxa" w:w="936"/>
            <w:shd w:fill="F7F9FC"/>
            <w:vAlign w:val="top"/>
          </w:tcPr>
          <w:p>
            <w:pPr>
              <w:spacing w:after="20" w:line="240" w:lineRule="auto"/>
            </w:pPr>
            <w:r>
              <w:rPr>
                <w:rFonts w:ascii="Arial" w:hAnsi="Arial"/>
                <w:b w:val="0"/>
                <w:color w:val="C00000"/>
                <w:sz w:val="15"/>
              </w:rPr>
              <w:t>-0.50</w:t>
            </w:r>
          </w:p>
        </w:tc>
        <w:tc>
          <w:tcPr>
            <w:tcW w:type="dxa" w:w="2952"/>
            <w:shd w:fill="F7F9FC"/>
            <w:vAlign w:val="top"/>
          </w:tcPr>
          <w:p>
            <w:pPr>
              <w:spacing w:after="20" w:line="240" w:lineRule="auto"/>
            </w:pPr>
            <w:r>
              <w:rPr>
                <w:rFonts w:ascii="Arial" w:hAnsi="Arial"/>
                <w:b w:val="0"/>
                <w:color w:val="595959"/>
                <w:sz w:val="15"/>
              </w:rPr>
              <w:t>RegimeInputs macro data fetch.RegimeInputs.nfci</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Fed hold/hike probability</w:t>
            </w:r>
          </w:p>
        </w:tc>
        <w:tc>
          <w:tcPr>
            <w:tcW w:type="dxa" w:w="936"/>
            <w:vAlign w:val="top"/>
          </w:tcPr>
          <w:p>
            <w:pPr>
              <w:spacing w:after="20" w:line="240" w:lineRule="auto"/>
            </w:pPr>
            <w:r>
              <w:rPr>
                <w:rFonts w:ascii="Arial" w:hAnsi="Arial"/>
                <w:b w:val="0"/>
                <w:color w:val="595959"/>
                <w:sz w:val="15"/>
              </w:rPr>
              <w:t>0.80</w:t>
            </w:r>
          </w:p>
        </w:tc>
        <w:tc>
          <w:tcPr>
            <w:tcW w:type="dxa" w:w="2952"/>
            <w:vAlign w:val="top"/>
          </w:tcPr>
          <w:p>
            <w:pPr>
              <w:spacing w:after="20" w:line="240" w:lineRule="auto"/>
            </w:pPr>
            <w:r>
              <w:rPr>
                <w:rFonts w:ascii="Arial" w:hAnsi="Arial"/>
                <w:b w:val="0"/>
                <w:color w:val="595959"/>
                <w:sz w:val="15"/>
              </w:rPr>
              <w:t>RegimeState.RegimeState.fed_path</w:t>
            </w:r>
          </w:p>
        </w:tc>
        <w:tc>
          <w:tcPr>
            <w:tcW w:type="dxa" w:w="1008"/>
            <w:vAlign w:val="top"/>
          </w:tcPr>
          <w:p>
            <w:pPr>
              <w:spacing w:after="20" w:line="240" w:lineRule="auto"/>
            </w:pPr>
            <w:r>
              <w:rPr>
                <w:rFonts w:ascii="Arial" w:hAnsi="Arial"/>
                <w:b w:val="0"/>
                <w:color w:val="595959"/>
                <w:sz w:val="15"/>
              </w:rPr>
              <w:t>07/02/26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unknown</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USO return</w:t>
            </w:r>
          </w:p>
        </w:tc>
        <w:tc>
          <w:tcPr>
            <w:tcW w:type="dxa" w:w="936"/>
            <w:shd w:fill="F7F9FC"/>
            <w:vAlign w:val="top"/>
          </w:tcPr>
          <w:p>
            <w:pPr>
              <w:spacing w:after="20" w:line="240" w:lineRule="auto"/>
            </w:pPr>
            <w:r>
              <w:rPr>
                <w:rFonts w:ascii="Arial" w:hAnsi="Arial"/>
                <w:b w:val="0"/>
                <w:color w:val="C00000"/>
                <w:sz w:val="15"/>
              </w:rPr>
              <w:t>-17.33</w:t>
            </w:r>
          </w:p>
        </w:tc>
        <w:tc>
          <w:tcPr>
            <w:tcW w:type="dxa" w:w="2952"/>
            <w:shd w:fill="F7F9FC"/>
            <w:vAlign w:val="top"/>
          </w:tcPr>
          <w:p>
            <w:pPr>
              <w:spacing w:after="20" w:line="240" w:lineRule="auto"/>
            </w:pPr>
            <w:r>
              <w:rPr>
                <w:rFonts w:ascii="Arial" w:hAnsi="Arial"/>
                <w:b w:val="0"/>
                <w:color w:val="595959"/>
                <w:sz w:val="15"/>
              </w:rPr>
              <w:t>MarketState cross-asset/tape builder.MarketState.market_tape_uso_return</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QQQ minus SPY</w:t>
            </w:r>
          </w:p>
        </w:tc>
        <w:tc>
          <w:tcPr>
            <w:tcW w:type="dxa" w:w="936"/>
            <w:vAlign w:val="top"/>
          </w:tcPr>
          <w:p>
            <w:pPr>
              <w:spacing w:after="20" w:line="240" w:lineRule="auto"/>
            </w:pPr>
            <w:r>
              <w:rPr>
                <w:rFonts w:ascii="Arial" w:hAnsi="Arial"/>
                <w:b w:val="0"/>
                <w:color w:val="595959"/>
                <w:sz w:val="15"/>
              </w:rPr>
              <w:t>9.71</w:t>
            </w:r>
          </w:p>
        </w:tc>
        <w:tc>
          <w:tcPr>
            <w:tcW w:type="dxa" w:w="2952"/>
            <w:vAlign w:val="top"/>
          </w:tcPr>
          <w:p>
            <w:pPr>
              <w:spacing w:after="20" w:line="240" w:lineRule="auto"/>
            </w:pPr>
            <w:r>
              <w:rPr>
                <w:rFonts w:ascii="Arial" w:hAnsi="Arial"/>
                <w:b w:val="0"/>
                <w:color w:val="595959"/>
                <w:sz w:val="15"/>
              </w:rPr>
              <w:t>MarketState cross-asset/tape builder.MarketState.qqq_minus_spy</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3M / 63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IWM minus SPY</w:t>
            </w:r>
          </w:p>
        </w:tc>
        <w:tc>
          <w:tcPr>
            <w:tcW w:type="dxa" w:w="936"/>
            <w:shd w:fill="F7F9FC"/>
            <w:vAlign w:val="top"/>
          </w:tcPr>
          <w:p>
            <w:pPr>
              <w:spacing w:after="20" w:line="240" w:lineRule="auto"/>
            </w:pPr>
            <w:r>
              <w:rPr>
                <w:rFonts w:ascii="Arial" w:hAnsi="Arial"/>
                <w:b w:val="0"/>
                <w:color w:val="595959"/>
                <w:sz w:val="15"/>
              </w:rPr>
              <w:t>5.81</w:t>
            </w:r>
          </w:p>
        </w:tc>
        <w:tc>
          <w:tcPr>
            <w:tcW w:type="dxa" w:w="2952"/>
            <w:shd w:fill="F7F9FC"/>
            <w:vAlign w:val="top"/>
          </w:tcPr>
          <w:p>
            <w:pPr>
              <w:spacing w:after="20" w:line="240" w:lineRule="auto"/>
            </w:pPr>
            <w:r>
              <w:rPr>
                <w:rFonts w:ascii="Arial" w:hAnsi="Arial"/>
                <w:b w:val="0"/>
                <w:color w:val="595959"/>
                <w:sz w:val="15"/>
              </w:rPr>
              <w:t>MarketState cross-asset/tape builder.MarketState.iwm_minus_spy</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bl>
    <w:p>
      <w:pPr>
        <w:spacing w:after="120"/>
      </w:pPr>
    </w:p>
    <w:p>
      <w:pPr>
        <w:spacing w:before="180" w:after="80"/>
      </w:pPr>
      <w:r>
        <w:rPr>
          <w:rFonts w:ascii="Arial" w:hAnsi="Arial"/>
          <w:b/>
          <w:color w:val="2E75B6"/>
          <w:sz w:val="21"/>
        </w:rPr>
        <w:t>Layer Summary Signals</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008"/>
            <w:shd w:fill="1F4E79"/>
            <w:vAlign w:val="top"/>
          </w:tcPr>
          <w:p>
            <w:pPr>
              <w:spacing w:after="20" w:line="240" w:lineRule="auto"/>
            </w:pPr>
            <w:r>
              <w:rPr>
                <w:rFonts w:ascii="Arial" w:hAnsi="Arial"/>
                <w:b/>
                <w:color w:val="FFFFFF"/>
                <w:sz w:val="15"/>
              </w:rPr>
              <w:t>Layer</w:t>
            </w:r>
          </w:p>
        </w:tc>
        <w:tc>
          <w:tcPr>
            <w:tcW w:type="dxa" w:w="792"/>
            <w:shd w:fill="1F4E79"/>
            <w:vAlign w:val="top"/>
          </w:tcPr>
          <w:p>
            <w:pPr>
              <w:spacing w:after="20" w:line="240" w:lineRule="auto"/>
            </w:pPr>
            <w:r>
              <w:rPr>
                <w:rFonts w:ascii="Arial" w:hAnsi="Arial"/>
                <w:b/>
                <w:color w:val="FFFFFF"/>
                <w:sz w:val="15"/>
              </w:rPr>
              <w:t>Score</w:t>
            </w:r>
          </w:p>
        </w:tc>
        <w:tc>
          <w:tcPr>
            <w:tcW w:type="dxa" w:w="1152"/>
            <w:shd w:fill="1F4E79"/>
            <w:vAlign w:val="top"/>
          </w:tcPr>
          <w:p>
            <w:pPr>
              <w:spacing w:after="20" w:line="240" w:lineRule="auto"/>
            </w:pPr>
            <w:r>
              <w:rPr>
                <w:rFonts w:ascii="Arial" w:hAnsi="Arial"/>
                <w:b/>
                <w:color w:val="FFFFFF"/>
                <w:sz w:val="15"/>
              </w:rPr>
              <w:t>Status</w:t>
            </w:r>
          </w:p>
        </w:tc>
        <w:tc>
          <w:tcPr>
            <w:tcW w:type="dxa" w:w="1224"/>
            <w:shd w:fill="1F4E79"/>
            <w:vAlign w:val="top"/>
          </w:tcPr>
          <w:p>
            <w:pPr>
              <w:spacing w:after="20" w:line="240" w:lineRule="auto"/>
            </w:pPr>
            <w:r>
              <w:rPr>
                <w:rFonts w:ascii="Arial" w:hAnsi="Arial"/>
                <w:b/>
                <w:color w:val="FFFFFF"/>
                <w:sz w:val="15"/>
              </w:rPr>
              <w:t>Confidence/Data Quality</w:t>
            </w:r>
          </w:p>
        </w:tc>
        <w:tc>
          <w:tcPr>
            <w:tcW w:type="dxa" w:w="792"/>
            <w:shd w:fill="1F4E79"/>
            <w:vAlign w:val="top"/>
          </w:tcPr>
          <w:p>
            <w:pPr>
              <w:spacing w:after="20" w:line="240" w:lineRule="auto"/>
            </w:pPr>
            <w:r>
              <w:rPr>
                <w:rFonts w:ascii="Arial" w:hAnsi="Arial"/>
                <w:b/>
                <w:color w:val="FFFFFF"/>
                <w:sz w:val="15"/>
              </w:rPr>
              <w:t>Used in Math?</w:t>
            </w:r>
          </w:p>
        </w:tc>
        <w:tc>
          <w:tcPr>
            <w:tcW w:type="dxa" w:w="6264"/>
            <w:shd w:fill="1F4E79"/>
            <w:vAlign w:val="top"/>
          </w:tcPr>
          <w:p>
            <w:pPr>
              <w:spacing w:after="20" w:line="240" w:lineRule="auto"/>
            </w:pPr>
            <w:r>
              <w:rPr>
                <w:rFonts w:ascii="Arial" w:hAnsi="Arial"/>
                <w:b/>
                <w:color w:val="FFFFFF"/>
                <w:sz w:val="15"/>
              </w:rPr>
              <w:t>Key Signals</w:t>
            </w:r>
          </w:p>
        </w:tc>
        <w:tc>
          <w:tcPr>
            <w:tcW w:type="dxa" w:w="2736"/>
            <w:shd w:fill="1F4E79"/>
            <w:vAlign w:val="top"/>
          </w:tcPr>
          <w:p>
            <w:pPr>
              <w:spacing w:after="20" w:line="240" w:lineRule="auto"/>
            </w:pPr>
            <w:r>
              <w:rPr>
                <w:rFonts w:ascii="Arial" w:hAnsi="Arial"/>
                <w:b/>
                <w:color w:val="FFFFFF"/>
                <w:sz w:val="15"/>
              </w:rPr>
              <w:t>Raw Components Attached</w:t>
            </w:r>
          </w:p>
        </w:tc>
      </w:tr>
      <w:tr>
        <w:tc>
          <w:tcPr>
            <w:tcW w:type="dxa" w:w="1008"/>
            <w:vAlign w:val="top"/>
          </w:tcPr>
          <w:p>
            <w:pPr>
              <w:spacing w:after="20" w:line="240" w:lineRule="auto"/>
            </w:pPr>
            <w:r>
              <w:rPr>
                <w:rFonts w:ascii="Arial" w:hAnsi="Arial"/>
                <w:b w:val="0"/>
                <w:color w:val="595959"/>
                <w:sz w:val="15"/>
              </w:rPr>
              <w:t>monetary</w:t>
            </w:r>
          </w:p>
        </w:tc>
        <w:tc>
          <w:tcPr>
            <w:tcW w:type="dxa" w:w="792"/>
            <w:vAlign w:val="top"/>
          </w:tcPr>
          <w:p>
            <w:pPr>
              <w:spacing w:after="20" w:line="240" w:lineRule="auto"/>
            </w:pPr>
            <w:r>
              <w:rPr>
                <w:rFonts w:ascii="Arial" w:hAnsi="Arial"/>
                <w:b w:val="0"/>
                <w:color w:val="595959"/>
                <w:sz w:val="15"/>
              </w:rPr>
              <w:t>5.59</w:t>
            </w:r>
          </w:p>
        </w:tc>
        <w:tc>
          <w:tcPr>
            <w:tcW w:type="dxa" w:w="1152"/>
            <w:vAlign w:val="top"/>
          </w:tcPr>
          <w:p>
            <w:pPr>
              <w:spacing w:after="20" w:line="240" w:lineRule="auto"/>
            </w:pPr>
            <w:r>
              <w:rPr>
                <w:rFonts w:ascii="Arial" w:hAnsi="Arial"/>
                <w:b w:val="0"/>
                <w:color w:val="595959"/>
                <w:sz w:val="15"/>
              </w:rPr>
              <w:t>mixed/improving</w:t>
            </w:r>
          </w:p>
        </w:tc>
        <w:tc>
          <w:tcPr>
            <w:tcW w:type="dxa" w:w="1224"/>
            <w:vAlign w:val="top"/>
          </w:tcPr>
          <w:p>
            <w:pPr>
              <w:spacing w:after="20" w:line="240" w:lineRule="auto"/>
            </w:pPr>
            <w:r>
              <w:rPr>
                <w:rFonts w:ascii="Arial" w:hAnsi="Arial"/>
                <w:b w:val="0"/>
                <w:color w:val="595959"/>
                <w:sz w:val="15"/>
              </w:rPr>
              <w:t>0.75/high</w:t>
            </w:r>
          </w:p>
        </w:tc>
        <w:tc>
          <w:tcPr>
            <w:tcW w:type="dxa" w:w="792"/>
            <w:vAlign w:val="top"/>
          </w:tcPr>
          <w:p>
            <w:pPr>
              <w:spacing w:after="20" w:line="240" w:lineRule="auto"/>
            </w:pPr>
            <w:r>
              <w:rPr>
                <w:rFonts w:ascii="Arial" w:hAnsi="Arial"/>
                <w:b w:val="0"/>
                <w:color w:val="C00000"/>
                <w:sz w:val="15"/>
              </w:rPr>
              <w:t>no</w:t>
            </w:r>
          </w:p>
        </w:tc>
        <w:tc>
          <w:tcPr>
            <w:tcW w:type="dxa" w:w="6264"/>
            <w:vAlign w:val="top"/>
          </w:tcPr>
          <w:p>
            <w:pPr>
              <w:spacing w:after="20" w:line="240" w:lineRule="auto"/>
            </w:pPr>
            <w:r>
              <w:rPr>
                <w:rFonts w:ascii="Arial" w:hAnsi="Arial"/>
                <w:b w:val="0"/>
                <w:color w:val="595959"/>
                <w:sz w:val="15"/>
              </w:rPr>
              <w:t>NFCI: -0.50 | inverted +0.79 | M2 YoY +5.58% | net liquidity z -0.24 | source=RegimeInputs/FRED | observed_date=2026-06-05</w:t>
            </w:r>
          </w:p>
        </w:tc>
        <w:tc>
          <w:tcPr>
            <w:tcW w:type="dxa" w:w="2736"/>
            <w:vAlign w:val="top"/>
          </w:tcPr>
          <w:p>
            <w:pPr>
              <w:spacing w:after="20" w:line="240" w:lineRule="auto"/>
            </w:pPr>
            <w:r>
              <w:rPr>
                <w:rFonts w:ascii="Arial" w:hAnsi="Arial"/>
                <w:b w:val="0"/>
                <w:color w:val="595959"/>
                <w:sz w:val="15"/>
              </w:rPr>
              <w:t>fed_path, net_liquidity, net_liquidity_z, nfci, nfci_inverted, m2_growth_yoy</w:t>
            </w:r>
          </w:p>
        </w:tc>
      </w:tr>
      <w:tr>
        <w:tc>
          <w:tcPr>
            <w:tcW w:type="dxa" w:w="1008"/>
            <w:shd w:fill="F7F9FC"/>
            <w:vAlign w:val="top"/>
          </w:tcPr>
          <w:p>
            <w:pPr>
              <w:spacing w:after="20" w:line="240" w:lineRule="auto"/>
            </w:pPr>
            <w:r>
              <w:rPr>
                <w:rFonts w:ascii="Arial" w:hAnsi="Arial"/>
                <w:b w:val="0"/>
                <w:color w:val="595959"/>
                <w:sz w:val="15"/>
              </w:rPr>
              <w:t>credit</w:t>
            </w:r>
          </w:p>
        </w:tc>
        <w:tc>
          <w:tcPr>
            <w:tcW w:type="dxa" w:w="792"/>
            <w:shd w:fill="F7F9FC"/>
            <w:vAlign w:val="top"/>
          </w:tcPr>
          <w:p>
            <w:pPr>
              <w:spacing w:after="20" w:line="240" w:lineRule="auto"/>
            </w:pPr>
            <w:r>
              <w:rPr>
                <w:rFonts w:ascii="Arial" w:hAnsi="Arial"/>
                <w:b w:val="0"/>
                <w:color w:val="595959"/>
                <w:sz w:val="15"/>
              </w:rPr>
              <w:t>8.26</w:t>
            </w:r>
          </w:p>
        </w:tc>
        <w:tc>
          <w:tcPr>
            <w:tcW w:type="dxa" w:w="1152"/>
            <w:shd w:fill="F7F9FC"/>
            <w:vAlign w:val="top"/>
          </w:tcPr>
          <w:p>
            <w:pPr>
              <w:spacing w:after="20" w:line="240" w:lineRule="auto"/>
            </w:pPr>
            <w:r>
              <w:rPr>
                <w:rFonts w:ascii="Arial" w:hAnsi="Arial"/>
                <w:b w:val="0"/>
                <w:color w:val="595959"/>
                <w:sz w:val="15"/>
              </w:rPr>
              <w:t>bullish/stable</w:t>
            </w:r>
          </w:p>
        </w:tc>
        <w:tc>
          <w:tcPr>
            <w:tcW w:type="dxa" w:w="1224"/>
            <w:shd w:fill="F7F9FC"/>
            <w:vAlign w:val="top"/>
          </w:tcPr>
          <w:p>
            <w:pPr>
              <w:spacing w:after="20" w:line="240" w:lineRule="auto"/>
            </w:pPr>
            <w:r>
              <w:rPr>
                <w:rFonts w:ascii="Arial" w:hAnsi="Arial"/>
                <w:b w:val="0"/>
                <w:color w:val="595959"/>
                <w:sz w:val="15"/>
              </w:rPr>
              <w:t>1.00/high</w:t>
            </w:r>
          </w:p>
        </w:tc>
        <w:tc>
          <w:tcPr>
            <w:tcW w:type="dxa" w:w="792"/>
            <w:shd w:fill="F7F9FC"/>
            <w:vAlign w:val="top"/>
          </w:tcPr>
          <w:p>
            <w:pPr>
              <w:spacing w:after="20" w:line="240" w:lineRule="auto"/>
            </w:pPr>
            <w:r>
              <w:rPr>
                <w:rFonts w:ascii="Arial" w:hAnsi="Arial"/>
                <w:b w:val="0"/>
                <w:color w:val="375623"/>
                <w:sz w:val="15"/>
              </w:rPr>
              <w:t>yes</w:t>
            </w:r>
          </w:p>
        </w:tc>
        <w:tc>
          <w:tcPr>
            <w:tcW w:type="dxa" w:w="6264"/>
            <w:shd w:fill="F7F9FC"/>
            <w:vAlign w:val="top"/>
          </w:tcPr>
          <w:p>
            <w:pPr>
              <w:spacing w:after="20" w:line="240" w:lineRule="auto"/>
            </w:pPr>
            <w:r>
              <w:rPr>
                <w:rFonts w:ascii="Arial" w:hAnsi="Arial"/>
                <w:b w:val="0"/>
                <w:color w:val="595959"/>
                <w:sz w:val="15"/>
              </w:rPr>
              <w:t>HY OAS: 276 bps | z -0.77 | 4W chg -6 bps | IG OAS 74 bps | source=RegimeInputs/FRED | observed_date=2026-06-05</w:t>
            </w:r>
          </w:p>
        </w:tc>
        <w:tc>
          <w:tcPr>
            <w:tcW w:type="dxa" w:w="2736"/>
            <w:shd w:fill="F7F9FC"/>
            <w:vAlign w:val="top"/>
          </w:tcPr>
          <w:p>
            <w:pPr>
              <w:spacing w:after="20" w:line="240" w:lineRule="auto"/>
            </w:pPr>
            <w:r>
              <w:rPr>
                <w:rFonts w:ascii="Arial" w:hAnsi="Arial"/>
                <w:b w:val="0"/>
                <w:color w:val="595959"/>
                <w:sz w:val="15"/>
              </w:rPr>
              <w:t>hy_spread_level, hy_spread_z, hy_spread_chg_4w, ig_spread_level, ig_spread_z, hyg_tlt_ratio_z</w:t>
            </w:r>
          </w:p>
        </w:tc>
      </w:tr>
      <w:tr>
        <w:tc>
          <w:tcPr>
            <w:tcW w:type="dxa" w:w="1008"/>
            <w:vAlign w:val="top"/>
          </w:tcPr>
          <w:p>
            <w:pPr>
              <w:spacing w:after="20" w:line="240" w:lineRule="auto"/>
            </w:pPr>
            <w:r>
              <w:rPr>
                <w:rFonts w:ascii="Arial" w:hAnsi="Arial"/>
                <w:b w:val="0"/>
                <w:color w:val="595959"/>
                <w:sz w:val="15"/>
              </w:rPr>
              <w:t>volatility</w:t>
            </w:r>
          </w:p>
        </w:tc>
        <w:tc>
          <w:tcPr>
            <w:tcW w:type="dxa" w:w="792"/>
            <w:vAlign w:val="top"/>
          </w:tcPr>
          <w:p>
            <w:pPr>
              <w:spacing w:after="20" w:line="240" w:lineRule="auto"/>
            </w:pPr>
            <w:r>
              <w:rPr>
                <w:rFonts w:ascii="Arial" w:hAnsi="Arial"/>
                <w:b w:val="0"/>
                <w:color w:val="595959"/>
                <w:sz w:val="15"/>
              </w:rPr>
              <w:t>7.26</w:t>
            </w:r>
          </w:p>
        </w:tc>
        <w:tc>
          <w:tcPr>
            <w:tcW w:type="dxa" w:w="1152"/>
            <w:vAlign w:val="top"/>
          </w:tcPr>
          <w:p>
            <w:pPr>
              <w:spacing w:after="20" w:line="240" w:lineRule="auto"/>
            </w:pPr>
            <w:r>
              <w:rPr>
                <w:rFonts w:ascii="Arial" w:hAnsi="Arial"/>
                <w:b w:val="0"/>
                <w:color w:val="595959"/>
                <w:sz w:val="15"/>
              </w:rPr>
              <w:t>bullish/stable</w:t>
            </w:r>
          </w:p>
        </w:tc>
        <w:tc>
          <w:tcPr>
            <w:tcW w:type="dxa" w:w="1224"/>
            <w:vAlign w:val="top"/>
          </w:tcPr>
          <w:p>
            <w:pPr>
              <w:spacing w:after="20" w:line="240" w:lineRule="auto"/>
            </w:pPr>
            <w:r>
              <w:rPr>
                <w:rFonts w:ascii="Arial" w:hAnsi="Arial"/>
                <w:b w:val="0"/>
                <w:color w:val="595959"/>
                <w:sz w:val="15"/>
              </w:rPr>
              <w:t>1.00/high</w:t>
            </w:r>
          </w:p>
        </w:tc>
        <w:tc>
          <w:tcPr>
            <w:tcW w:type="dxa" w:w="792"/>
            <w:vAlign w:val="top"/>
          </w:tcPr>
          <w:p>
            <w:pPr>
              <w:spacing w:after="20" w:line="240" w:lineRule="auto"/>
            </w:pPr>
            <w:r>
              <w:rPr>
                <w:rFonts w:ascii="Arial" w:hAnsi="Arial"/>
                <w:b w:val="0"/>
                <w:color w:val="375623"/>
                <w:sz w:val="15"/>
              </w:rPr>
              <w:t>yes</w:t>
            </w:r>
          </w:p>
        </w:tc>
        <w:tc>
          <w:tcPr>
            <w:tcW w:type="dxa" w:w="6264"/>
            <w:vAlign w:val="top"/>
          </w:tcPr>
          <w:p>
            <w:pPr>
              <w:spacing w:after="20" w:line="240" w:lineRule="auto"/>
            </w:pPr>
            <w:r>
              <w:rPr>
                <w:rFonts w:ascii="Arial" w:hAnsi="Arial"/>
                <w:b w:val="0"/>
                <w:color w:val="595959"/>
                <w:sz w:val="15"/>
              </w:rPr>
              <w:t>VIX: 21.51 | z20D +3.07 | term slope +0.31 | source=RegimeInputs.vix_level | observed_date=2026-06-05</w:t>
            </w:r>
          </w:p>
        </w:tc>
        <w:tc>
          <w:tcPr>
            <w:tcW w:type="dxa" w:w="2736"/>
            <w:vAlign w:val="top"/>
          </w:tcPr>
          <w:p>
            <w:pPr>
              <w:spacing w:after="20" w:line="240" w:lineRule="auto"/>
            </w:pPr>
            <w:r>
              <w:rPr>
                <w:rFonts w:ascii="Arial" w:hAnsi="Arial"/>
                <w:b w:val="0"/>
                <w:color w:val="595959"/>
                <w:sz w:val="15"/>
              </w:rPr>
              <w:t>vix_level, vix_z_20d, vix_term_slope, vvix_level, vvix_z, skew_index</w:t>
            </w:r>
          </w:p>
        </w:tc>
      </w:tr>
      <w:tr>
        <w:tc>
          <w:tcPr>
            <w:tcW w:type="dxa" w:w="1008"/>
            <w:shd w:fill="F7F9FC"/>
            <w:vAlign w:val="top"/>
          </w:tcPr>
          <w:p>
            <w:pPr>
              <w:spacing w:after="20" w:line="240" w:lineRule="auto"/>
            </w:pPr>
            <w:r>
              <w:rPr>
                <w:rFonts w:ascii="Arial" w:hAnsi="Arial"/>
                <w:b w:val="0"/>
                <w:color w:val="595959"/>
                <w:sz w:val="15"/>
              </w:rPr>
              <w:t>breadth</w:t>
            </w:r>
          </w:p>
        </w:tc>
        <w:tc>
          <w:tcPr>
            <w:tcW w:type="dxa" w:w="792"/>
            <w:shd w:fill="F7F9FC"/>
            <w:vAlign w:val="top"/>
          </w:tcPr>
          <w:p>
            <w:pPr>
              <w:spacing w:after="20" w:line="240" w:lineRule="auto"/>
            </w:pPr>
            <w:r>
              <w:rPr>
                <w:rFonts w:ascii="Arial" w:hAnsi="Arial"/>
                <w:b w:val="0"/>
                <w:color w:val="595959"/>
                <w:sz w:val="15"/>
              </w:rPr>
              <w:t>4.39</w:t>
            </w:r>
          </w:p>
        </w:tc>
        <w:tc>
          <w:tcPr>
            <w:tcW w:type="dxa" w:w="1152"/>
            <w:shd w:fill="F7F9FC"/>
            <w:vAlign w:val="top"/>
          </w:tcPr>
          <w:p>
            <w:pPr>
              <w:spacing w:after="20" w:line="240" w:lineRule="auto"/>
            </w:pPr>
            <w:r>
              <w:rPr>
                <w:rFonts w:ascii="Arial" w:hAnsi="Arial"/>
                <w:b w:val="0"/>
                <w:color w:val="595959"/>
                <w:sz w:val="15"/>
              </w:rPr>
              <w:t>bearish/deteriorating</w:t>
            </w:r>
          </w:p>
        </w:tc>
        <w:tc>
          <w:tcPr>
            <w:tcW w:type="dxa" w:w="1224"/>
            <w:shd w:fill="F7F9FC"/>
            <w:vAlign w:val="top"/>
          </w:tcPr>
          <w:p>
            <w:pPr>
              <w:spacing w:after="20" w:line="240" w:lineRule="auto"/>
            </w:pPr>
            <w:r>
              <w:rPr>
                <w:rFonts w:ascii="Arial" w:hAnsi="Arial"/>
                <w:b w:val="0"/>
                <w:color w:val="595959"/>
                <w:sz w:val="15"/>
              </w:rPr>
              <w:t>0.90/high</w:t>
            </w:r>
          </w:p>
        </w:tc>
        <w:tc>
          <w:tcPr>
            <w:tcW w:type="dxa" w:w="792"/>
            <w:shd w:fill="F7F9FC"/>
            <w:vAlign w:val="top"/>
          </w:tcPr>
          <w:p>
            <w:pPr>
              <w:spacing w:after="20" w:line="240" w:lineRule="auto"/>
            </w:pPr>
            <w:r>
              <w:rPr>
                <w:rFonts w:ascii="Arial" w:hAnsi="Arial"/>
                <w:b w:val="0"/>
                <w:color w:val="375623"/>
                <w:sz w:val="15"/>
              </w:rPr>
              <w:t>yes</w:t>
            </w:r>
          </w:p>
        </w:tc>
        <w:tc>
          <w:tcPr>
            <w:tcW w:type="dxa" w:w="6264"/>
            <w:shd w:fill="F7F9FC"/>
            <w:vAlign w:val="top"/>
          </w:tcPr>
          <w:p>
            <w:pPr>
              <w:spacing w:after="20" w:line="240" w:lineRule="auto"/>
            </w:pPr>
            <w:r>
              <w:rPr>
                <w:rFonts w:ascii="Arial" w:hAnsi="Arial"/>
                <w:b w:val="0"/>
                <w:color w:val="595959"/>
                <w:sz w:val="15"/>
              </w:rPr>
              <w:t>RSP-SPY: -2.83 pp over 3M / 63 trading days | RSP +11.92%, SPY +14.75% | source=MarketState.cross_asset_returns | observed_date=2026-06-05</w:t>
            </w:r>
          </w:p>
        </w:tc>
        <w:tc>
          <w:tcPr>
            <w:tcW w:type="dxa" w:w="2736"/>
            <w:shd w:fill="F7F9FC"/>
            <w:vAlign w:val="top"/>
          </w:tcPr>
          <w:p>
            <w:pPr>
              <w:spacing w:after="20" w:line="240" w:lineRule="auto"/>
            </w:pPr>
            <w:r>
              <w:rPr>
                <w:rFonts w:ascii="Arial" w:hAnsi="Arial"/>
                <w:b w:val="0"/>
                <w:color w:val="595959"/>
                <w:sz w:val="15"/>
              </w:rPr>
              <w:t>pct_above_200d, sectors_green, rsp_vs_spy_z, adl_slope</w:t>
            </w:r>
          </w:p>
        </w:tc>
      </w:tr>
      <w:tr>
        <w:tc>
          <w:tcPr>
            <w:tcW w:type="dxa" w:w="1008"/>
            <w:vAlign w:val="top"/>
          </w:tcPr>
          <w:p>
            <w:pPr>
              <w:spacing w:after="20" w:line="240" w:lineRule="auto"/>
            </w:pPr>
            <w:r>
              <w:rPr>
                <w:rFonts w:ascii="Arial" w:hAnsi="Arial"/>
                <w:b w:val="0"/>
                <w:color w:val="595959"/>
                <w:sz w:val="15"/>
              </w:rPr>
              <w:t>positioning</w:t>
            </w:r>
          </w:p>
        </w:tc>
        <w:tc>
          <w:tcPr>
            <w:tcW w:type="dxa" w:w="792"/>
            <w:vAlign w:val="top"/>
          </w:tcPr>
          <w:p>
            <w:pPr>
              <w:spacing w:after="20" w:line="240" w:lineRule="auto"/>
            </w:pPr>
            <w:r>
              <w:rPr>
                <w:rFonts w:ascii="Arial" w:hAnsi="Arial"/>
                <w:b w:val="0"/>
                <w:color w:val="595959"/>
                <w:sz w:val="15"/>
              </w:rPr>
              <w:t>7.25</w:t>
            </w:r>
          </w:p>
        </w:tc>
        <w:tc>
          <w:tcPr>
            <w:tcW w:type="dxa" w:w="1152"/>
            <w:vAlign w:val="top"/>
          </w:tcPr>
          <w:p>
            <w:pPr>
              <w:spacing w:after="20" w:line="240" w:lineRule="auto"/>
            </w:pPr>
            <w:r>
              <w:rPr>
                <w:rFonts w:ascii="Arial" w:hAnsi="Arial"/>
                <w:b w:val="0"/>
                <w:color w:val="595959"/>
                <w:sz w:val="15"/>
              </w:rPr>
              <w:t>mixed/stable</w:t>
            </w:r>
          </w:p>
        </w:tc>
        <w:tc>
          <w:tcPr>
            <w:tcW w:type="dxa" w:w="1224"/>
            <w:vAlign w:val="top"/>
          </w:tcPr>
          <w:p>
            <w:pPr>
              <w:spacing w:after="20" w:line="240" w:lineRule="auto"/>
            </w:pPr>
            <w:r>
              <w:rPr>
                <w:rFonts w:ascii="Arial" w:hAnsi="Arial"/>
                <w:b w:val="0"/>
                <w:color w:val="595959"/>
                <w:sz w:val="15"/>
              </w:rPr>
              <w:t>1.00/high</w:t>
            </w:r>
          </w:p>
        </w:tc>
        <w:tc>
          <w:tcPr>
            <w:tcW w:type="dxa" w:w="792"/>
            <w:vAlign w:val="top"/>
          </w:tcPr>
          <w:p>
            <w:pPr>
              <w:spacing w:after="20" w:line="240" w:lineRule="auto"/>
            </w:pPr>
            <w:r>
              <w:rPr>
                <w:rFonts w:ascii="Arial" w:hAnsi="Arial"/>
                <w:b w:val="0"/>
                <w:color w:val="375623"/>
                <w:sz w:val="15"/>
              </w:rPr>
              <w:t>yes</w:t>
            </w:r>
          </w:p>
        </w:tc>
        <w:tc>
          <w:tcPr>
            <w:tcW w:type="dxa" w:w="6264"/>
            <w:vAlign w:val="top"/>
          </w:tcPr>
          <w:p>
            <w:pPr>
              <w:spacing w:after="20" w:line="240" w:lineRule="auto"/>
            </w:pPr>
            <w:r>
              <w:rPr>
                <w:rFonts w:ascii="Arial" w:hAnsi="Arial"/>
                <w:b w:val="0"/>
                <w:color w:val="595959"/>
                <w:sz w:val="15"/>
              </w:rPr>
              <w:t>Generic put/call ratio: ? | field=put_call_ratio | 5D MA ? | source=unknown.put_call_ratio | observed_date=2026-06-05 | Cboe equity unresolved</w:t>
            </w:r>
          </w:p>
        </w:tc>
        <w:tc>
          <w:tcPr>
            <w:tcW w:type="dxa" w:w="2736"/>
            <w:vAlign w:val="top"/>
          </w:tcPr>
          <w:p>
            <w:pPr>
              <w:spacing w:after="20" w:line="240" w:lineRule="auto"/>
            </w:pPr>
            <w:r>
              <w:rPr>
                <w:rFonts w:ascii="Arial" w:hAnsi="Arial"/>
                <w:b w:val="0"/>
                <w:color w:val="595959"/>
                <w:sz w:val="15"/>
              </w:rPr>
              <w:t>cot_net_large_spec_z</w:t>
            </w:r>
          </w:p>
        </w:tc>
      </w:tr>
    </w:tbl>
    <w:p>
      <w:pPr>
        <w:spacing w:after="120"/>
      </w:pPr>
    </w:p>
    <w:p>
      <w:pPr>
        <w:spacing w:before="180" w:after="80"/>
      </w:pPr>
      <w:r>
        <w:rPr>
          <w:rFonts w:ascii="Arial" w:hAnsi="Arial"/>
          <w:b/>
          <w:color w:val="2E75B6"/>
          <w:sz w:val="21"/>
        </w:rPr>
        <w:t>Raw Input Coverage Summary</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Parent Layer</w:t>
            </w:r>
          </w:p>
        </w:tc>
        <w:tc>
          <w:tcPr>
            <w:tcW w:type="dxa" w:w="2328"/>
            <w:shd w:fill="1F4E79"/>
            <w:vAlign w:val="top"/>
          </w:tcPr>
          <w:p>
            <w:pPr>
              <w:spacing w:after="20" w:line="240" w:lineRule="auto"/>
            </w:pPr>
            <w:r>
              <w:rPr>
                <w:rFonts w:ascii="Arial" w:hAnsi="Arial"/>
                <w:b/>
                <w:color w:val="FFFFFF"/>
                <w:sz w:val="15"/>
              </w:rPr>
              <w:t>Expected Raw Inputs</w:t>
            </w:r>
          </w:p>
        </w:tc>
        <w:tc>
          <w:tcPr>
            <w:tcW w:type="dxa" w:w="2328"/>
            <w:shd w:fill="1F4E79"/>
            <w:vAlign w:val="top"/>
          </w:tcPr>
          <w:p>
            <w:pPr>
              <w:spacing w:after="20" w:line="240" w:lineRule="auto"/>
            </w:pPr>
            <w:r>
              <w:rPr>
                <w:rFonts w:ascii="Arial" w:hAnsi="Arial"/>
                <w:b/>
                <w:color w:val="FFFFFF"/>
                <w:sz w:val="15"/>
              </w:rPr>
              <w:t>Available Raw Inputs</w:t>
            </w:r>
          </w:p>
        </w:tc>
        <w:tc>
          <w:tcPr>
            <w:tcW w:type="dxa" w:w="2328"/>
            <w:shd w:fill="1F4E79"/>
            <w:vAlign w:val="top"/>
          </w:tcPr>
          <w:p>
            <w:pPr>
              <w:spacing w:after="20" w:line="240" w:lineRule="auto"/>
            </w:pPr>
            <w:r>
              <w:rPr>
                <w:rFonts w:ascii="Arial" w:hAnsi="Arial"/>
                <w:b/>
                <w:color w:val="FFFFFF"/>
                <w:sz w:val="15"/>
              </w:rPr>
              <w:t>Used in Deterministic Math</w:t>
            </w:r>
          </w:p>
        </w:tc>
        <w:tc>
          <w:tcPr>
            <w:tcW w:type="dxa" w:w="2328"/>
            <w:shd w:fill="1F4E79"/>
            <w:vAlign w:val="top"/>
          </w:tcPr>
          <w:p>
            <w:pPr>
              <w:spacing w:after="20" w:line="240" w:lineRule="auto"/>
            </w:pPr>
            <w:r>
              <w:rPr>
                <w:rFonts w:ascii="Arial" w:hAnsi="Arial"/>
                <w:b/>
                <w:color w:val="FFFFFF"/>
                <w:sz w:val="15"/>
              </w:rPr>
              <w:t>Used in Historical Similarity</w:t>
            </w:r>
          </w:p>
        </w:tc>
        <w:tc>
          <w:tcPr>
            <w:tcW w:type="dxa" w:w="2328"/>
            <w:shd w:fill="1F4E79"/>
            <w:vAlign w:val="top"/>
          </w:tcPr>
          <w:p>
            <w:pPr>
              <w:spacing w:after="20" w:line="240" w:lineRule="auto"/>
            </w:pPr>
            <w:r>
              <w:rPr>
                <w:rFonts w:ascii="Arial" w:hAnsi="Arial"/>
                <w:b/>
                <w:color w:val="FFFFFF"/>
                <w:sz w:val="15"/>
              </w:rPr>
              <w:t>Missing Inputs</w:t>
            </w:r>
          </w:p>
        </w:tc>
      </w:tr>
      <w:tr>
        <w:tc>
          <w:tcPr>
            <w:tcW w:type="dxa" w:w="2328"/>
            <w:vAlign w:val="top"/>
          </w:tcPr>
          <w:p>
            <w:pPr>
              <w:spacing w:after="20" w:line="240" w:lineRule="auto"/>
            </w:pPr>
            <w:r>
              <w:rPr>
                <w:rFonts w:ascii="Arial" w:hAnsi="Arial"/>
                <w:b w:val="0"/>
                <w:color w:val="595959"/>
                <w:sz w:val="15"/>
              </w:rPr>
              <w:t>Monetary</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fci_z</w:t>
            </w:r>
          </w:p>
        </w:tc>
      </w:tr>
      <w:tr>
        <w:tc>
          <w:tcPr>
            <w:tcW w:type="dxa" w:w="2328"/>
            <w:shd w:fill="F7F9FC"/>
            <w:vAlign w:val="top"/>
          </w:tcPr>
          <w:p>
            <w:pPr>
              <w:spacing w:after="20" w:line="240" w:lineRule="auto"/>
            </w:pPr>
            <w:r>
              <w:rPr>
                <w:rFonts w:ascii="Arial" w:hAnsi="Arial"/>
                <w:b w:val="0"/>
                <w:color w:val="595959"/>
                <w:sz w:val="15"/>
              </w:rPr>
              <w:t>Credit</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w:t>
            </w:r>
          </w:p>
        </w:tc>
      </w:tr>
      <w:tr>
        <w:tc>
          <w:tcPr>
            <w:tcW w:type="dxa" w:w="2328"/>
            <w:vAlign w:val="top"/>
          </w:tcPr>
          <w:p>
            <w:pPr>
              <w:spacing w:after="20" w:line="240" w:lineRule="auto"/>
            </w:pPr>
            <w:r>
              <w:rPr>
                <w:rFonts w:ascii="Arial" w:hAnsi="Arial"/>
                <w:b w:val="0"/>
                <w:color w:val="595959"/>
                <w:sz w:val="15"/>
              </w:rPr>
              <w:t>Volatility</w:t>
            </w:r>
          </w:p>
        </w:tc>
        <w:tc>
          <w:tcPr>
            <w:tcW w:type="dxa" w:w="2328"/>
            <w:vAlign w:val="top"/>
          </w:tcPr>
          <w:p>
            <w:pPr>
              <w:spacing w:after="20" w:line="240" w:lineRule="auto"/>
            </w:pPr>
            <w:r>
              <w:rPr>
                <w:rFonts w:ascii="Arial" w:hAnsi="Arial"/>
                <w:b w:val="0"/>
                <w:color w:val="595959"/>
                <w:sz w:val="15"/>
              </w:rPr>
              <w:t>7</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put_call_ratio</w:t>
            </w:r>
          </w:p>
        </w:tc>
      </w:tr>
      <w:tr>
        <w:tc>
          <w:tcPr>
            <w:tcW w:type="dxa" w:w="2328"/>
            <w:shd w:fill="F7F9FC"/>
            <w:vAlign w:val="top"/>
          </w:tcPr>
          <w:p>
            <w:pPr>
              <w:spacing w:after="20" w:line="240" w:lineRule="auto"/>
            </w:pPr>
            <w:r>
              <w:rPr>
                <w:rFonts w:ascii="Arial" w:hAnsi="Arial"/>
                <w:b w:val="0"/>
                <w:color w:val="595959"/>
                <w:sz w:val="15"/>
              </w:rPr>
              <w:t>Breadth</w:t>
            </w:r>
          </w:p>
        </w:tc>
        <w:tc>
          <w:tcPr>
            <w:tcW w:type="dxa" w:w="2328"/>
            <w:shd w:fill="F7F9FC"/>
            <w:vAlign w:val="top"/>
          </w:tcPr>
          <w:p>
            <w:pPr>
              <w:spacing w:after="20" w:line="240" w:lineRule="auto"/>
            </w:pPr>
            <w:r>
              <w:rPr>
                <w:rFonts w:ascii="Arial" w:hAnsi="Arial"/>
                <w:b w:val="0"/>
                <w:color w:val="595959"/>
                <w:sz w:val="15"/>
              </w:rPr>
              <w:t>5</w:t>
            </w:r>
          </w:p>
        </w:tc>
        <w:tc>
          <w:tcPr>
            <w:tcW w:type="dxa" w:w="2328"/>
            <w:shd w:fill="F7F9FC"/>
            <w:vAlign w:val="top"/>
          </w:tcPr>
          <w:p>
            <w:pPr>
              <w:spacing w:after="20" w:line="240" w:lineRule="auto"/>
            </w:pPr>
            <w:r>
              <w:rPr>
                <w:rFonts w:ascii="Arial" w:hAnsi="Arial"/>
                <w:b w:val="0"/>
                <w:color w:val="595959"/>
                <w:sz w:val="15"/>
              </w:rPr>
              <w:t>4</w:t>
            </w:r>
          </w:p>
        </w:tc>
        <w:tc>
          <w:tcPr>
            <w:tcW w:type="dxa" w:w="2328"/>
            <w:shd w:fill="F7F9FC"/>
            <w:vAlign w:val="top"/>
          </w:tcPr>
          <w:p>
            <w:pPr>
              <w:spacing w:after="20" w:line="240" w:lineRule="auto"/>
            </w:pPr>
            <w:r>
              <w:rPr>
                <w:rFonts w:ascii="Arial" w:hAnsi="Arial"/>
                <w:b w:val="0"/>
                <w:color w:val="595959"/>
                <w:sz w:val="15"/>
              </w:rPr>
              <w:t>4</w:t>
            </w:r>
          </w:p>
        </w:tc>
        <w:tc>
          <w:tcPr>
            <w:tcW w:type="dxa" w:w="2328"/>
            <w:shd w:fill="F7F9FC"/>
            <w:vAlign w:val="top"/>
          </w:tcPr>
          <w:p>
            <w:pPr>
              <w:spacing w:after="20" w:line="240" w:lineRule="auto"/>
            </w:pPr>
            <w:r>
              <w:rPr>
                <w:rFonts w:ascii="Arial" w:hAnsi="Arial"/>
                <w:b w:val="0"/>
                <w:color w:val="595959"/>
                <w:sz w:val="15"/>
              </w:rPr>
              <w:t>4</w:t>
            </w:r>
          </w:p>
        </w:tc>
        <w:tc>
          <w:tcPr>
            <w:tcW w:type="dxa" w:w="2328"/>
            <w:shd w:fill="F7F9FC"/>
            <w:vAlign w:val="top"/>
          </w:tcPr>
          <w:p>
            <w:pPr>
              <w:spacing w:after="20" w:line="240" w:lineRule="auto"/>
            </w:pPr>
            <w:r>
              <w:rPr>
                <w:rFonts w:ascii="Arial" w:hAnsi="Arial"/>
                <w:b w:val="0"/>
                <w:color w:val="595959"/>
                <w:sz w:val="15"/>
              </w:rPr>
              <w:t>new_highs_minus_lows_z</w:t>
            </w:r>
          </w:p>
        </w:tc>
      </w:tr>
      <w:tr>
        <w:tc>
          <w:tcPr>
            <w:tcW w:type="dxa" w:w="2328"/>
            <w:vAlign w:val="top"/>
          </w:tcPr>
          <w:p>
            <w:pPr>
              <w:spacing w:after="20" w:line="240" w:lineRule="auto"/>
            </w:pPr>
            <w:r>
              <w:rPr>
                <w:rFonts w:ascii="Arial" w:hAnsi="Arial"/>
                <w:b w:val="0"/>
                <w:color w:val="595959"/>
                <w:sz w:val="15"/>
              </w:rPr>
              <w:t>Positioning</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1</w:t>
            </w:r>
          </w:p>
        </w:tc>
        <w:tc>
          <w:tcPr>
            <w:tcW w:type="dxa" w:w="2328"/>
            <w:vAlign w:val="top"/>
          </w:tcPr>
          <w:p>
            <w:pPr>
              <w:spacing w:after="20" w:line="240" w:lineRule="auto"/>
            </w:pPr>
            <w:r>
              <w:rPr>
                <w:rFonts w:ascii="Arial" w:hAnsi="Arial"/>
                <w:b w:val="0"/>
                <w:color w:val="595959"/>
                <w:sz w:val="15"/>
              </w:rPr>
              <w:t>1</w:t>
            </w:r>
          </w:p>
        </w:tc>
        <w:tc>
          <w:tcPr>
            <w:tcW w:type="dxa" w:w="2328"/>
            <w:vAlign w:val="top"/>
          </w:tcPr>
          <w:p>
            <w:pPr>
              <w:spacing w:after="20" w:line="240" w:lineRule="auto"/>
            </w:pPr>
            <w:r>
              <w:rPr>
                <w:rFonts w:ascii="Arial" w:hAnsi="Arial"/>
                <w:b w:val="0"/>
                <w:color w:val="595959"/>
                <w:sz w:val="15"/>
              </w:rPr>
              <w:t>1</w:t>
            </w:r>
          </w:p>
        </w:tc>
        <w:tc>
          <w:tcPr>
            <w:tcW w:type="dxa" w:w="2328"/>
            <w:vAlign w:val="top"/>
          </w:tcPr>
          <w:p>
            <w:pPr>
              <w:spacing w:after="20" w:line="240" w:lineRule="auto"/>
            </w:pPr>
            <w:r>
              <w:rPr>
                <w:rFonts w:ascii="Arial" w:hAnsi="Arial"/>
                <w:b w:val="0"/>
                <w:color w:val="595959"/>
                <w:sz w:val="15"/>
              </w:rPr>
              <w:t>dealer_gamma_z, put_call_5d_ma, aaii_bull_minus_bear, equity_etf_flow_z</w:t>
            </w:r>
          </w:p>
        </w:tc>
      </w:tr>
      <w:tr>
        <w:tc>
          <w:tcPr>
            <w:tcW w:type="dxa" w:w="2328"/>
            <w:shd w:fill="F7F9FC"/>
            <w:vAlign w:val="top"/>
          </w:tcPr>
          <w:p>
            <w:pPr>
              <w:spacing w:after="20" w:line="240" w:lineRule="auto"/>
            </w:pPr>
            <w:r>
              <w:rPr>
                <w:rFonts w:ascii="Arial" w:hAnsi="Arial"/>
                <w:b w:val="0"/>
                <w:color w:val="595959"/>
                <w:sz w:val="15"/>
              </w:rPr>
              <w:t>Market/Tape</w:t>
            </w:r>
          </w:p>
        </w:tc>
        <w:tc>
          <w:tcPr>
            <w:tcW w:type="dxa" w:w="2328"/>
            <w:shd w:fill="F7F9FC"/>
            <w:vAlign w:val="top"/>
          </w:tcPr>
          <w:p>
            <w:pPr>
              <w:spacing w:after="20" w:line="240" w:lineRule="auto"/>
            </w:pPr>
            <w:r>
              <w:rPr>
                <w:rFonts w:ascii="Arial" w:hAnsi="Arial"/>
                <w:b w:val="0"/>
                <w:color w:val="595959"/>
                <w:sz w:val="15"/>
              </w:rPr>
              <w:t>13</w:t>
            </w:r>
          </w:p>
        </w:tc>
        <w:tc>
          <w:tcPr>
            <w:tcW w:type="dxa" w:w="2328"/>
            <w:shd w:fill="F7F9FC"/>
            <w:vAlign w:val="top"/>
          </w:tcPr>
          <w:p>
            <w:pPr>
              <w:spacing w:after="20" w:line="240" w:lineRule="auto"/>
            </w:pPr>
            <w:r>
              <w:rPr>
                <w:rFonts w:ascii="Arial" w:hAnsi="Arial"/>
                <w:b w:val="0"/>
                <w:color w:val="595959"/>
                <w:sz w:val="15"/>
              </w:rPr>
              <w:t>22</w:t>
            </w:r>
          </w:p>
        </w:tc>
        <w:tc>
          <w:tcPr>
            <w:tcW w:type="dxa" w:w="2328"/>
            <w:shd w:fill="F7F9FC"/>
            <w:vAlign w:val="top"/>
          </w:tcPr>
          <w:p>
            <w:pPr>
              <w:spacing w:after="20" w:line="240" w:lineRule="auto"/>
            </w:pPr>
            <w:r>
              <w:rPr>
                <w:rFonts w:ascii="Arial" w:hAnsi="Arial"/>
                <w:b w:val="0"/>
                <w:color w:val="595959"/>
                <w:sz w:val="15"/>
              </w:rPr>
              <w:t>11</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sectors_green, leadership_top3</w:t>
            </w:r>
          </w:p>
        </w:tc>
      </w:tr>
      <w:tr>
        <w:tc>
          <w:tcPr>
            <w:tcW w:type="dxa" w:w="2328"/>
            <w:vAlign w:val="top"/>
          </w:tcPr>
          <w:p>
            <w:pPr>
              <w:spacing w:after="20" w:line="240" w:lineRule="auto"/>
            </w:pPr>
            <w:r>
              <w:rPr>
                <w:rFonts w:ascii="Arial" w:hAnsi="Arial"/>
                <w:b w:val="0"/>
                <w:color w:val="595959"/>
                <w:sz w:val="15"/>
              </w:rPr>
              <w:t>Rates/FX</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w:t>
            </w:r>
          </w:p>
        </w:tc>
      </w:tr>
      <w:tr>
        <w:tc>
          <w:tcPr>
            <w:tcW w:type="dxa" w:w="2328"/>
            <w:shd w:fill="F7F9FC"/>
            <w:vAlign w:val="top"/>
          </w:tcPr>
          <w:p>
            <w:pPr>
              <w:spacing w:after="20" w:line="240" w:lineRule="auto"/>
            </w:pPr>
            <w:r>
              <w:rPr>
                <w:rFonts w:ascii="Arial" w:hAnsi="Arial"/>
                <w:b w:val="0"/>
                <w:color w:val="595959"/>
                <w:sz w:val="15"/>
              </w:rPr>
              <w:t>Commodities/Oil</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w:t>
            </w:r>
          </w:p>
        </w:tc>
      </w:tr>
      <w:tr>
        <w:tc>
          <w:tcPr>
            <w:tcW w:type="dxa" w:w="2328"/>
            <w:vAlign w:val="top"/>
          </w:tcPr>
          <w:p>
            <w:pPr>
              <w:spacing w:after="20" w:line="240" w:lineRule="auto"/>
            </w:pPr>
            <w:r>
              <w:rPr>
                <w:rFonts w:ascii="Arial" w:hAnsi="Arial"/>
                <w:b w:val="0"/>
                <w:color w:val="595959"/>
                <w:sz w:val="15"/>
              </w:rPr>
              <w:t>Earnings/Theme</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Raw Input Coverage Totals</w:t>
      </w:r>
    </w:p>
    <w:tbl>
      <w:tblPr>
        <w:tblStyle w:val="TableGrid"/>
        <w:tblW w:type="auto" w:w="0"/>
        <w:jc w:val="center"/>
        <w:tblLayout w:type="autofit"/>
        <w:tblLook w:firstColumn="1" w:firstRow="1" w:lastColumn="0" w:lastRow="0" w:noHBand="0" w:noVBand="1" w:val="04A0"/>
      </w:tblPr>
      <w:tblGrid>
        <w:gridCol w:w="6984"/>
        <w:gridCol w:w="6984"/>
      </w:tblGrid>
      <w:tr>
        <w:trPr>
          <w:tblHeader w:val="true"/>
        </w:trPr>
        <w:tc>
          <w:tcPr>
            <w:tcW w:type="dxa" w:w="6984"/>
            <w:shd w:fill="1F4E79"/>
            <w:vAlign w:val="top"/>
          </w:tcPr>
          <w:p>
            <w:pPr>
              <w:spacing w:after="20" w:line="240" w:lineRule="auto"/>
            </w:pPr>
            <w:r>
              <w:rPr>
                <w:rFonts w:ascii="Arial" w:hAnsi="Arial"/>
                <w:b/>
                <w:color w:val="FFFFFF"/>
                <w:sz w:val="15"/>
              </w:rPr>
              <w:t>Metric</w:t>
            </w:r>
          </w:p>
        </w:tc>
        <w:tc>
          <w:tcPr>
            <w:tcW w:type="dxa" w:w="6984"/>
            <w:shd w:fill="1F4E79"/>
            <w:vAlign w:val="top"/>
          </w:tcPr>
          <w:p>
            <w:pPr>
              <w:spacing w:after="20" w:line="240" w:lineRule="auto"/>
            </w:pPr>
            <w:r>
              <w:rPr>
                <w:rFonts w:ascii="Arial" w:hAnsi="Arial"/>
                <w:b/>
                <w:color w:val="FFFFFF"/>
                <w:sz w:val="15"/>
              </w:rPr>
              <w:t>Count</w:t>
            </w:r>
          </w:p>
        </w:tc>
      </w:tr>
      <w:tr>
        <w:tc>
          <w:tcPr>
            <w:tcW w:type="dxa" w:w="6984"/>
            <w:vAlign w:val="top"/>
          </w:tcPr>
          <w:p>
            <w:pPr>
              <w:spacing w:after="20" w:line="240" w:lineRule="auto"/>
            </w:pPr>
            <w:r>
              <w:rPr>
                <w:rFonts w:ascii="Arial" w:hAnsi="Arial"/>
                <w:b w:val="0"/>
                <w:color w:val="595959"/>
                <w:sz w:val="15"/>
              </w:rPr>
              <w:t>total_raw_signals_expected</w:t>
            </w:r>
          </w:p>
        </w:tc>
        <w:tc>
          <w:tcPr>
            <w:tcW w:type="dxa" w:w="6984"/>
            <w:vAlign w:val="top"/>
          </w:tcPr>
          <w:p>
            <w:pPr>
              <w:spacing w:after="20" w:line="240" w:lineRule="auto"/>
            </w:pPr>
            <w:r>
              <w:rPr>
                <w:rFonts w:ascii="Arial" w:hAnsi="Arial"/>
                <w:b w:val="0"/>
                <w:color w:val="595959"/>
                <w:sz w:val="15"/>
              </w:rPr>
              <w:t>42</w:t>
            </w:r>
          </w:p>
        </w:tc>
      </w:tr>
      <w:tr>
        <w:tc>
          <w:tcPr>
            <w:tcW w:type="dxa" w:w="6984"/>
            <w:shd w:fill="F7F9FC"/>
            <w:vAlign w:val="top"/>
          </w:tcPr>
          <w:p>
            <w:pPr>
              <w:spacing w:after="20" w:line="240" w:lineRule="auto"/>
            </w:pPr>
            <w:r>
              <w:rPr>
                <w:rFonts w:ascii="Arial" w:hAnsi="Arial"/>
                <w:b w:val="0"/>
                <w:color w:val="595959"/>
                <w:sz w:val="15"/>
              </w:rPr>
              <w:t>total_raw_signals_available</w:t>
            </w:r>
          </w:p>
        </w:tc>
        <w:tc>
          <w:tcPr>
            <w:tcW w:type="dxa" w:w="6984"/>
            <w:shd w:fill="F7F9FC"/>
            <w:vAlign w:val="top"/>
          </w:tcPr>
          <w:p>
            <w:pPr>
              <w:spacing w:after="20" w:line="240" w:lineRule="auto"/>
            </w:pPr>
            <w:r>
              <w:rPr>
                <w:rFonts w:ascii="Arial" w:hAnsi="Arial"/>
                <w:b w:val="0"/>
                <w:color w:val="595959"/>
                <w:sz w:val="15"/>
              </w:rPr>
              <w:t>45</w:t>
            </w:r>
          </w:p>
        </w:tc>
      </w:tr>
      <w:tr>
        <w:tc>
          <w:tcPr>
            <w:tcW w:type="dxa" w:w="6984"/>
            <w:vAlign w:val="top"/>
          </w:tcPr>
          <w:p>
            <w:pPr>
              <w:spacing w:after="20" w:line="240" w:lineRule="auto"/>
            </w:pPr>
            <w:r>
              <w:rPr>
                <w:rFonts w:ascii="Arial" w:hAnsi="Arial"/>
                <w:b w:val="0"/>
                <w:color w:val="595959"/>
                <w:sz w:val="15"/>
              </w:rPr>
              <w:t>total_raw_signals_used_in_probability_update</w:t>
            </w:r>
          </w:p>
        </w:tc>
        <w:tc>
          <w:tcPr>
            <w:tcW w:type="dxa" w:w="6984"/>
            <w:vAlign w:val="top"/>
          </w:tcPr>
          <w:p>
            <w:pPr>
              <w:spacing w:after="20" w:line="240" w:lineRule="auto"/>
            </w:pPr>
            <w:r>
              <w:rPr>
                <w:rFonts w:ascii="Arial" w:hAnsi="Arial"/>
                <w:b w:val="0"/>
                <w:color w:val="595959"/>
                <w:sz w:val="15"/>
              </w:rPr>
              <w:t>33</w:t>
            </w:r>
          </w:p>
        </w:tc>
      </w:tr>
      <w:tr>
        <w:tc>
          <w:tcPr>
            <w:tcW w:type="dxa" w:w="6984"/>
            <w:shd w:fill="F7F9FC"/>
            <w:vAlign w:val="top"/>
          </w:tcPr>
          <w:p>
            <w:pPr>
              <w:spacing w:after="20" w:line="240" w:lineRule="auto"/>
            </w:pPr>
            <w:r>
              <w:rPr>
                <w:rFonts w:ascii="Arial" w:hAnsi="Arial"/>
                <w:b w:val="0"/>
                <w:color w:val="595959"/>
                <w:sz w:val="15"/>
              </w:rPr>
              <w:t>total_raw_signals_used_in_historical_similarity</w:t>
            </w:r>
          </w:p>
        </w:tc>
        <w:tc>
          <w:tcPr>
            <w:tcW w:type="dxa" w:w="6984"/>
            <w:shd w:fill="F7F9FC"/>
            <w:vAlign w:val="top"/>
          </w:tcPr>
          <w:p>
            <w:pPr>
              <w:spacing w:after="20" w:line="240" w:lineRule="auto"/>
            </w:pPr>
            <w:r>
              <w:rPr>
                <w:rFonts w:ascii="Arial" w:hAnsi="Arial"/>
                <w:b w:val="0"/>
                <w:color w:val="595959"/>
                <w:sz w:val="15"/>
              </w:rPr>
              <w:t>22</w:t>
            </w:r>
          </w:p>
        </w:tc>
      </w:tr>
      <w:tr>
        <w:tc>
          <w:tcPr>
            <w:tcW w:type="dxa" w:w="6984"/>
            <w:vAlign w:val="top"/>
          </w:tcPr>
          <w:p>
            <w:pPr>
              <w:spacing w:after="20" w:line="240" w:lineRule="auto"/>
            </w:pPr>
            <w:r>
              <w:rPr>
                <w:rFonts w:ascii="Arial" w:hAnsi="Arial"/>
                <w:b w:val="0"/>
                <w:color w:val="595959"/>
                <w:sz w:val="15"/>
              </w:rPr>
              <w:t>total_raw_signals_display_only</w:t>
            </w:r>
          </w:p>
        </w:tc>
        <w:tc>
          <w:tcPr>
            <w:tcW w:type="dxa" w:w="6984"/>
            <w:vAlign w:val="top"/>
          </w:tcPr>
          <w:p>
            <w:pPr>
              <w:spacing w:after="20" w:line="240" w:lineRule="auto"/>
            </w:pPr>
            <w:r>
              <w:rPr>
                <w:rFonts w:ascii="Arial" w:hAnsi="Arial"/>
                <w:b w:val="0"/>
                <w:color w:val="595959"/>
                <w:sz w:val="15"/>
              </w:rPr>
              <w:t>0</w:t>
            </w:r>
          </w:p>
        </w:tc>
      </w:tr>
      <w:tr>
        <w:tc>
          <w:tcPr>
            <w:tcW w:type="dxa" w:w="6984"/>
            <w:shd w:fill="F7F9FC"/>
            <w:vAlign w:val="top"/>
          </w:tcPr>
          <w:p>
            <w:pPr>
              <w:spacing w:after="20" w:line="240" w:lineRule="auto"/>
            </w:pPr>
            <w:r>
              <w:rPr>
                <w:rFonts w:ascii="Arial" w:hAnsi="Arial"/>
                <w:b w:val="0"/>
                <w:color w:val="595959"/>
                <w:sz w:val="15"/>
              </w:rPr>
              <w:t>total_raw_signals_missing</w:t>
            </w:r>
          </w:p>
        </w:tc>
        <w:tc>
          <w:tcPr>
            <w:tcW w:type="dxa" w:w="6984"/>
            <w:shd w:fill="F7F9FC"/>
            <w:vAlign w:val="top"/>
          </w:tcPr>
          <w:p>
            <w:pPr>
              <w:spacing w:after="20" w:line="240" w:lineRule="auto"/>
            </w:pPr>
            <w:r>
              <w:rPr>
                <w:rFonts w:ascii="Arial" w:hAnsi="Arial"/>
                <w:b w:val="0"/>
                <w:color w:val="595959"/>
                <w:sz w:val="15"/>
              </w:rPr>
              <w:t>9</w:t>
            </w:r>
          </w:p>
        </w:tc>
      </w:tr>
    </w:tbl>
    <w:p>
      <w:pPr>
        <w:spacing w:after="120"/>
      </w:pPr>
    </w:p>
    <w:p>
      <w:pPr>
        <w:spacing w:before="180" w:after="80"/>
      </w:pPr>
      <w:r>
        <w:rPr>
          <w:rFonts w:ascii="Arial" w:hAnsi="Arial"/>
          <w:b/>
          <w:color w:val="2E75B6"/>
          <w:sz w:val="21"/>
        </w:rPr>
        <w:t>Raw Component Signals</w:t>
      </w:r>
    </w:p>
    <w:tbl>
      <w:tblPr>
        <w:tblStyle w:val="TableGrid"/>
        <w:tblW w:type="auto" w:w="0"/>
        <w:jc w:val="center"/>
        <w:tblLayout w:type="autofit"/>
        <w:tblLook w:firstColumn="1" w:firstRow="1" w:lastColumn="0" w:lastRow="0" w:noHBand="0" w:noVBand="1" w:val="04A0"/>
      </w:tblPr>
      <w:tblGrid>
        <w:gridCol w:w="1552"/>
        <w:gridCol w:w="1552"/>
        <w:gridCol w:w="1552"/>
        <w:gridCol w:w="1552"/>
        <w:gridCol w:w="1552"/>
        <w:gridCol w:w="1552"/>
        <w:gridCol w:w="1552"/>
        <w:gridCol w:w="1552"/>
        <w:gridCol w:w="1552"/>
      </w:tblGrid>
      <w:tr>
        <w:trPr>
          <w:tblHeader w:val="true"/>
        </w:trPr>
        <w:tc>
          <w:tcPr>
            <w:tcW w:type="dxa" w:w="1552"/>
            <w:shd w:fill="1F4E79"/>
            <w:vAlign w:val="top"/>
          </w:tcPr>
          <w:p>
            <w:pPr>
              <w:spacing w:after="20" w:line="240" w:lineRule="auto"/>
            </w:pPr>
            <w:r>
              <w:rPr>
                <w:rFonts w:ascii="Arial" w:hAnsi="Arial"/>
                <w:b/>
                <w:color w:val="FFFFFF"/>
                <w:sz w:val="15"/>
              </w:rPr>
              <w:t>Input</w:t>
            </w:r>
          </w:p>
        </w:tc>
        <w:tc>
          <w:tcPr>
            <w:tcW w:type="dxa" w:w="1552"/>
            <w:shd w:fill="1F4E79"/>
            <w:vAlign w:val="top"/>
          </w:tcPr>
          <w:p>
            <w:pPr>
              <w:spacing w:after="20" w:line="240" w:lineRule="auto"/>
            </w:pPr>
            <w:r>
              <w:rPr>
                <w:rFonts w:ascii="Arial" w:hAnsi="Arial"/>
                <w:b/>
                <w:color w:val="FFFFFF"/>
                <w:sz w:val="15"/>
              </w:rPr>
              <w:t>Source Object</w:t>
            </w:r>
          </w:p>
        </w:tc>
        <w:tc>
          <w:tcPr>
            <w:tcW w:type="dxa" w:w="1552"/>
            <w:shd w:fill="1F4E79"/>
            <w:vAlign w:val="top"/>
          </w:tcPr>
          <w:p>
            <w:pPr>
              <w:spacing w:after="20" w:line="240" w:lineRule="auto"/>
            </w:pPr>
            <w:r>
              <w:rPr>
                <w:rFonts w:ascii="Arial" w:hAnsi="Arial"/>
                <w:b/>
                <w:color w:val="FFFFFF"/>
                <w:sz w:val="15"/>
              </w:rPr>
              <w:t>Parent Layer</w:t>
            </w:r>
          </w:p>
        </w:tc>
        <w:tc>
          <w:tcPr>
            <w:tcW w:type="dxa" w:w="1552"/>
            <w:shd w:fill="1F4E79"/>
            <w:vAlign w:val="top"/>
          </w:tcPr>
          <w:p>
            <w:pPr>
              <w:spacing w:after="20" w:line="240" w:lineRule="auto"/>
            </w:pPr>
            <w:r>
              <w:rPr>
                <w:rFonts w:ascii="Arial" w:hAnsi="Arial"/>
                <w:b/>
                <w:color w:val="FFFFFF"/>
                <w:sz w:val="15"/>
              </w:rPr>
              <w:t>Raw Value</w:t>
            </w:r>
          </w:p>
        </w:tc>
        <w:tc>
          <w:tcPr>
            <w:tcW w:type="dxa" w:w="1552"/>
            <w:shd w:fill="1F4E79"/>
            <w:vAlign w:val="top"/>
          </w:tcPr>
          <w:p>
            <w:pPr>
              <w:spacing w:after="20" w:line="240" w:lineRule="auto"/>
            </w:pPr>
            <w:r>
              <w:rPr>
                <w:rFonts w:ascii="Arial" w:hAnsi="Arial"/>
                <w:b/>
                <w:color w:val="FFFFFF"/>
                <w:sz w:val="15"/>
              </w:rPr>
              <w:t>Status</w:t>
            </w:r>
          </w:p>
        </w:tc>
        <w:tc>
          <w:tcPr>
            <w:tcW w:type="dxa" w:w="1552"/>
            <w:shd w:fill="1F4E79"/>
            <w:vAlign w:val="top"/>
          </w:tcPr>
          <w:p>
            <w:pPr>
              <w:spacing w:after="20" w:line="240" w:lineRule="auto"/>
            </w:pPr>
            <w:r>
              <w:rPr>
                <w:rFonts w:ascii="Arial" w:hAnsi="Arial"/>
                <w:b/>
                <w:color w:val="FFFFFF"/>
                <w:sz w:val="15"/>
              </w:rPr>
              <w:t>Trend</w:t>
            </w:r>
          </w:p>
        </w:tc>
        <w:tc>
          <w:tcPr>
            <w:tcW w:type="dxa" w:w="1552"/>
            <w:shd w:fill="1F4E79"/>
            <w:vAlign w:val="top"/>
          </w:tcPr>
          <w:p>
            <w:pPr>
              <w:spacing w:after="20" w:line="240" w:lineRule="auto"/>
            </w:pPr>
            <w:r>
              <w:rPr>
                <w:rFonts w:ascii="Arial" w:hAnsi="Arial"/>
                <w:b/>
                <w:color w:val="FFFFFF"/>
                <w:sz w:val="15"/>
              </w:rPr>
              <w:t>Used in Math?</w:t>
            </w:r>
          </w:p>
        </w:tc>
        <w:tc>
          <w:tcPr>
            <w:tcW w:type="dxa" w:w="1552"/>
            <w:shd w:fill="1F4E79"/>
            <w:vAlign w:val="top"/>
          </w:tcPr>
          <w:p>
            <w:pPr>
              <w:spacing w:after="20" w:line="240" w:lineRule="auto"/>
            </w:pPr>
            <w:r>
              <w:rPr>
                <w:rFonts w:ascii="Arial" w:hAnsi="Arial"/>
                <w:b/>
                <w:color w:val="FFFFFF"/>
                <w:sz w:val="15"/>
              </w:rPr>
              <w:t>Used in Analogues?</w:t>
            </w:r>
          </w:p>
        </w:tc>
        <w:tc>
          <w:tcPr>
            <w:tcW w:type="dxa" w:w="1552"/>
            <w:shd w:fill="1F4E79"/>
            <w:vAlign w:val="top"/>
          </w:tcPr>
          <w:p>
            <w:pPr>
              <w:spacing w:after="20" w:line="240" w:lineRule="auto"/>
            </w:pPr>
            <w:r>
              <w:rPr>
                <w:rFonts w:ascii="Arial" w:hAnsi="Arial"/>
                <w:b/>
                <w:color w:val="FFFFFF"/>
                <w:sz w:val="15"/>
              </w:rPr>
              <w:t>Top Scenario Effects</w:t>
            </w:r>
          </w:p>
        </w:tc>
      </w:tr>
      <w:tr>
        <w:tc>
          <w:tcPr>
            <w:tcW w:type="dxa" w:w="1552"/>
            <w:vAlign w:val="top"/>
          </w:tcPr>
          <w:p>
            <w:pPr>
              <w:spacing w:after="20" w:line="240" w:lineRule="auto"/>
            </w:pPr>
            <w:r>
              <w:rPr>
                <w:rFonts w:ascii="Arial" w:hAnsi="Arial"/>
                <w:b w:val="0"/>
                <w:color w:val="595959"/>
                <w:sz w:val="15"/>
              </w:rPr>
              <w:t>Fed path 2026-06-17</w:t>
            </w:r>
          </w:p>
        </w:tc>
        <w:tc>
          <w:tcPr>
            <w:tcW w:type="dxa" w:w="1552"/>
            <w:vAlign w:val="top"/>
          </w:tcPr>
          <w:p>
            <w:pPr>
              <w:spacing w:after="20" w:line="240" w:lineRule="auto"/>
            </w:pPr>
            <w:r>
              <w:rPr>
                <w:rFonts w:ascii="Arial" w:hAnsi="Arial"/>
                <w:b w:val="0"/>
                <w:color w:val="595959"/>
                <w:sz w:val="15"/>
              </w:rPr>
              <w:t>RegimeState</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0.80</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C00000"/>
                <w:sz w:val="15"/>
              </w:rPr>
              <w:t>no</w:t>
            </w:r>
          </w:p>
        </w:tc>
        <w:tc>
          <w:tcPr>
            <w:tcW w:type="dxa" w:w="1552"/>
            <w:vAlign w:val="top"/>
          </w:tcPr>
          <w:p>
            <w:pPr>
              <w:spacing w:after="20" w:line="240" w:lineRule="auto"/>
            </w:pPr>
            <w:r>
              <w:rPr>
                <w:rFonts w:ascii="Arial" w:hAnsi="Arial"/>
                <w:b w:val="0"/>
                <w:color w:val="C00000"/>
                <w:sz w:val="15"/>
              </w:rPr>
              <w:t>no</w:t>
            </w:r>
          </w:p>
        </w:tc>
        <w:tc>
          <w:tcPr>
            <w:tcW w:type="dxa" w:w="1552"/>
            <w:vAlign w:val="top"/>
          </w:tcPr>
          <w:p>
            <w:pPr>
              <w:spacing w:after="20" w:line="240" w:lineRule="auto"/>
            </w:pPr>
            <w:r>
              <w:rPr>
                <w:rFonts w:ascii="Arial" w:hAnsi="Arial"/>
                <w:b w:val="0"/>
                <w:color w:val="595959"/>
                <w:sz w:val="15"/>
              </w:rPr>
              <w:t>sticky_late_cycle_ai increases 0.45, oil_inflation_tail increases 0.35, reopening_soft_landing decreases 0.45</w:t>
            </w:r>
          </w:p>
        </w:tc>
      </w:tr>
      <w:tr>
        <w:tc>
          <w:tcPr>
            <w:tcW w:type="dxa" w:w="1552"/>
            <w:shd w:fill="F7F9FC"/>
            <w:vAlign w:val="top"/>
          </w:tcPr>
          <w:p>
            <w:pPr>
              <w:spacing w:after="20" w:line="240" w:lineRule="auto"/>
            </w:pPr>
            <w:r>
              <w:rPr>
                <w:rFonts w:ascii="Arial" w:hAnsi="Arial"/>
                <w:b w:val="0"/>
                <w:color w:val="595959"/>
                <w:sz w:val="15"/>
              </w:rPr>
              <w:t>Hy Spread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276.00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0.25, reopening_soft_landing increases 0.18, sticky_late_cycle_ai increases 0.10</w:t>
            </w:r>
          </w:p>
        </w:tc>
      </w:tr>
      <w:tr>
        <w:tc>
          <w:tcPr>
            <w:tcW w:type="dxa" w:w="1552"/>
            <w:vAlign w:val="top"/>
          </w:tcPr>
          <w:p>
            <w:pPr>
              <w:spacing w:after="20" w:line="240" w:lineRule="auto"/>
            </w:pPr>
            <w:r>
              <w:rPr>
                <w:rFonts w:ascii="Arial" w:hAnsi="Arial"/>
                <w:b w:val="0"/>
                <w:color w:val="595959"/>
                <w:sz w:val="15"/>
              </w:rPr>
              <w:t>Pct Above 200D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breadth</w:t>
            </w:r>
          </w:p>
        </w:tc>
        <w:tc>
          <w:tcPr>
            <w:tcW w:type="dxa" w:w="1552"/>
            <w:vAlign w:val="top"/>
          </w:tcPr>
          <w:p>
            <w:pPr>
              <w:spacing w:after="20" w:line="240" w:lineRule="auto"/>
            </w:pPr>
            <w:r>
              <w:rPr>
                <w:rFonts w:ascii="Arial" w:hAnsi="Arial"/>
                <w:b w:val="0"/>
                <w:color w:val="595959"/>
                <w:sz w:val="15"/>
              </w:rPr>
              <w:t>81.80</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375623"/>
                <w:sz w:val="15"/>
              </w:rPr>
              <w:t>improving</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0.25, sticky_late_cycle_ai decreases 0.14, late_cycle_risk_off decreases 0.14</w:t>
            </w:r>
          </w:p>
        </w:tc>
      </w:tr>
      <w:tr>
        <w:tc>
          <w:tcPr>
            <w:tcW w:type="dxa" w:w="1552"/>
            <w:shd w:fill="F7F9FC"/>
            <w:vAlign w:val="top"/>
          </w:tcPr>
          <w:p>
            <w:pPr>
              <w:spacing w:after="20" w:line="240" w:lineRule="auto"/>
            </w:pPr>
            <w:r>
              <w:rPr>
                <w:rFonts w:ascii="Arial" w:hAnsi="Arial"/>
                <w:b w:val="0"/>
                <w:color w:val="595959"/>
                <w:sz w:val="15"/>
              </w:rPr>
              <w:t>Adl Slope</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595959"/>
                <w:sz w:val="15"/>
              </w:rPr>
              <w:t>0.62</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375623"/>
                <w:sz w:val="15"/>
              </w:rPr>
              <w:t>improving</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0.25, sticky_late_cycle_ai decreases 0.14, late_cycle_risk_off decreases 0.14</w:t>
            </w:r>
          </w:p>
        </w:tc>
      </w:tr>
      <w:tr>
        <w:tc>
          <w:tcPr>
            <w:tcW w:type="dxa" w:w="1552"/>
            <w:vAlign w:val="top"/>
          </w:tcPr>
          <w:p>
            <w:pPr>
              <w:spacing w:after="20" w:line="240" w:lineRule="auto"/>
            </w:pPr>
            <w:r>
              <w:rPr>
                <w:rFonts w:ascii="Arial" w:hAnsi="Arial"/>
                <w:b w:val="0"/>
                <w:color w:val="595959"/>
                <w:sz w:val="15"/>
              </w:rPr>
              <w:t>Vix Z 20D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3.07</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increases 0.24</w:t>
            </w:r>
          </w:p>
        </w:tc>
      </w:tr>
      <w:tr>
        <w:tc>
          <w:tcPr>
            <w:tcW w:type="dxa" w:w="1552"/>
            <w:shd w:fill="F7F9FC"/>
            <w:vAlign w:val="top"/>
          </w:tcPr>
          <w:p>
            <w:pPr>
              <w:spacing w:after="20" w:line="240" w:lineRule="auto"/>
            </w:pPr>
            <w:r>
              <w:rPr>
                <w:rFonts w:ascii="Arial" w:hAnsi="Arial"/>
                <w:b w:val="0"/>
                <w:color w:val="595959"/>
                <w:sz w:val="15"/>
              </w:rPr>
              <w:t>Rsp Vs Spy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C00000"/>
                <w:sz w:val="15"/>
              </w:rPr>
              <w:t>-0.70</w:t>
            </w:r>
          </w:p>
        </w:tc>
        <w:tc>
          <w:tcPr>
            <w:tcW w:type="dxa" w:w="1552"/>
            <w:shd w:fill="F7F9FC"/>
            <w:vAlign w:val="top"/>
          </w:tcPr>
          <w:p>
            <w:pPr>
              <w:spacing w:after="20" w:line="240" w:lineRule="auto"/>
            </w:pPr>
            <w:r>
              <w:rPr>
                <w:rFonts w:ascii="Arial" w:hAnsi="Arial"/>
                <w:b w:val="0"/>
                <w:color w:val="C00000"/>
                <w:sz w:val="15"/>
              </w:rPr>
              <w:t>bearish</w:t>
            </w:r>
          </w:p>
        </w:tc>
        <w:tc>
          <w:tcPr>
            <w:tcW w:type="dxa" w:w="1552"/>
            <w:shd w:fill="F7F9FC"/>
            <w:vAlign w:val="top"/>
          </w:tcPr>
          <w:p>
            <w:pPr>
              <w:spacing w:after="20" w:line="240" w:lineRule="auto"/>
            </w:pPr>
            <w:r>
              <w:rPr>
                <w:rFonts w:ascii="Arial" w:hAnsi="Arial"/>
                <w:b w:val="0"/>
                <w:color w:val="C00000"/>
                <w:sz w:val="15"/>
              </w:rPr>
              <w:t>deteriorating</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sticky_late_cycle_ai increases 0.24, late_cycle_risk_off increases 0.18, reopening_soft_landing decreases 0.22</w:t>
            </w:r>
          </w:p>
        </w:tc>
      </w:tr>
      <w:tr>
        <w:tc>
          <w:tcPr>
            <w:tcW w:type="dxa" w:w="1552"/>
            <w:vAlign w:val="top"/>
          </w:tcPr>
          <w:p>
            <w:pPr>
              <w:spacing w:after="20" w:line="240" w:lineRule="auto"/>
            </w:pPr>
            <w:r>
              <w:rPr>
                <w:rFonts w:ascii="Arial" w:hAnsi="Arial"/>
                <w:b w:val="0"/>
                <w:color w:val="595959"/>
                <w:sz w:val="15"/>
              </w:rPr>
              <w:t>NFCI inverted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0.79</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0.22, late_cycle_risk_off decreases 0.18, sticky_late_cycle_ai decreases 0.08</w:t>
            </w:r>
          </w:p>
        </w:tc>
      </w:tr>
      <w:tr>
        <w:tc>
          <w:tcPr>
            <w:tcW w:type="dxa" w:w="1552"/>
            <w:shd w:fill="F7F9FC"/>
            <w:vAlign w:val="top"/>
          </w:tcPr>
          <w:p>
            <w:pPr>
              <w:spacing w:after="20" w:line="240" w:lineRule="auto"/>
            </w:pPr>
            <w:r>
              <w:rPr>
                <w:rFonts w:ascii="Arial" w:hAnsi="Arial"/>
                <w:b w:val="0"/>
                <w:color w:val="595959"/>
                <w:sz w:val="15"/>
              </w:rPr>
              <w:t>Hy Spread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C00000"/>
                <w:sz w:val="15"/>
              </w:rPr>
              <w:t>-0.77</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0.18</w:t>
            </w:r>
          </w:p>
        </w:tc>
      </w:tr>
      <w:tr>
        <w:tc>
          <w:tcPr>
            <w:tcW w:type="dxa" w:w="1552"/>
            <w:vAlign w:val="top"/>
          </w:tcPr>
          <w:p>
            <w:pPr>
              <w:spacing w:after="20" w:line="240" w:lineRule="auto"/>
            </w:pPr>
            <w:r>
              <w:rPr>
                <w:rFonts w:ascii="Arial" w:hAnsi="Arial"/>
                <w:b w:val="0"/>
                <w:color w:val="595959"/>
                <w:sz w:val="15"/>
              </w:rPr>
              <w:t>Skew Index</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152.25</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increases 0.16</w:t>
            </w:r>
          </w:p>
        </w:tc>
      </w:tr>
      <w:tr>
        <w:tc>
          <w:tcPr>
            <w:tcW w:type="dxa" w:w="1552"/>
            <w:shd w:fill="F7F9FC"/>
            <w:vAlign w:val="top"/>
          </w:tcPr>
          <w:p>
            <w:pPr>
              <w:spacing w:after="20" w:line="240" w:lineRule="auto"/>
            </w:pPr>
            <w:r>
              <w:rPr>
                <w:rFonts w:ascii="Arial" w:hAnsi="Arial"/>
                <w:b w:val="0"/>
                <w:color w:val="595959"/>
                <w:sz w:val="15"/>
              </w:rPr>
              <w:t>Hyg Tlt Ratio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1.42</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0.14, late_cycle_risk_off decreases 0.12</w:t>
            </w:r>
          </w:p>
        </w:tc>
      </w:tr>
      <w:tr>
        <w:tc>
          <w:tcPr>
            <w:tcW w:type="dxa" w:w="1552"/>
            <w:vAlign w:val="top"/>
          </w:tcPr>
          <w:p>
            <w:pPr>
              <w:spacing w:after="20" w:line="240" w:lineRule="auto"/>
            </w:pPr>
            <w:r>
              <w:rPr>
                <w:rFonts w:ascii="Arial" w:hAnsi="Arial"/>
                <w:b w:val="0"/>
                <w:color w:val="595959"/>
                <w:sz w:val="15"/>
              </w:rPr>
              <w:t>M2 growth YoY</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5.58</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0.12</w:t>
            </w:r>
          </w:p>
        </w:tc>
      </w:tr>
      <w:tr>
        <w:tc>
          <w:tcPr>
            <w:tcW w:type="dxa" w:w="1552"/>
            <w:shd w:fill="F7F9FC"/>
            <w:vAlign w:val="top"/>
          </w:tcPr>
          <w:p>
            <w:pPr>
              <w:spacing w:after="20" w:line="240" w:lineRule="auto"/>
            </w:pPr>
            <w:r>
              <w:rPr>
                <w:rFonts w:ascii="Arial" w:hAnsi="Arial"/>
                <w:b w:val="0"/>
                <w:color w:val="595959"/>
                <w:sz w:val="15"/>
              </w:rPr>
              <w:t>Ig Spread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74.00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0.12</w:t>
            </w:r>
          </w:p>
        </w:tc>
      </w:tr>
      <w:tr>
        <w:tc>
          <w:tcPr>
            <w:tcW w:type="dxa" w:w="1552"/>
            <w:vAlign w:val="top"/>
          </w:tcPr>
          <w:p>
            <w:pPr>
              <w:spacing w:after="20" w:line="240" w:lineRule="auto"/>
            </w:pPr>
            <w:r>
              <w:rPr>
                <w:rFonts w:ascii="Arial" w:hAnsi="Arial"/>
                <w:b w:val="0"/>
                <w:color w:val="595959"/>
                <w:sz w:val="15"/>
              </w:rPr>
              <w:t>Ig Spread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credit</w:t>
            </w:r>
          </w:p>
        </w:tc>
        <w:tc>
          <w:tcPr>
            <w:tcW w:type="dxa" w:w="1552"/>
            <w:vAlign w:val="top"/>
          </w:tcPr>
          <w:p>
            <w:pPr>
              <w:spacing w:after="20" w:line="240" w:lineRule="auto"/>
            </w:pPr>
            <w:r>
              <w:rPr>
                <w:rFonts w:ascii="Arial" w:hAnsi="Arial"/>
                <w:b w:val="0"/>
                <w:color w:val="C00000"/>
                <w:sz w:val="15"/>
              </w:rPr>
              <w:t>-1.22</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decreases 0.10</w:t>
            </w:r>
          </w:p>
        </w:tc>
      </w:tr>
      <w:tr>
        <w:tc>
          <w:tcPr>
            <w:tcW w:type="dxa" w:w="1552"/>
            <w:shd w:fill="F7F9FC"/>
            <w:vAlign w:val="top"/>
          </w:tcPr>
          <w:p>
            <w:pPr>
              <w:spacing w:after="20" w:line="240" w:lineRule="auto"/>
            </w:pPr>
            <w:r>
              <w:rPr>
                <w:rFonts w:ascii="Arial" w:hAnsi="Arial"/>
                <w:b w:val="0"/>
                <w:color w:val="595959"/>
                <w:sz w:val="15"/>
              </w:rPr>
              <w:t>NFCI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monetary</w:t>
            </w:r>
          </w:p>
        </w:tc>
        <w:tc>
          <w:tcPr>
            <w:tcW w:type="dxa" w:w="1552"/>
            <w:shd w:fill="F7F9FC"/>
            <w:vAlign w:val="top"/>
          </w:tcPr>
          <w:p>
            <w:pPr>
              <w:spacing w:after="20" w:line="240" w:lineRule="auto"/>
            </w:pPr>
            <w:r>
              <w:rPr>
                <w:rFonts w:ascii="Arial" w:hAnsi="Arial"/>
                <w:b w:val="0"/>
                <w:color w:val="C00000"/>
                <w:sz w:val="15"/>
              </w:rPr>
              <w:t>-0.50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0.08</w:t>
            </w:r>
          </w:p>
        </w:tc>
      </w:tr>
      <w:tr>
        <w:tc>
          <w:tcPr>
            <w:tcW w:type="dxa" w:w="1552"/>
            <w:vAlign w:val="top"/>
          </w:tcPr>
          <w:p>
            <w:pPr>
              <w:spacing w:after="20" w:line="240" w:lineRule="auto"/>
            </w:pPr>
            <w:r>
              <w:rPr>
                <w:rFonts w:ascii="Arial" w:hAnsi="Arial"/>
                <w:b w:val="0"/>
                <w:color w:val="595959"/>
                <w:sz w:val="15"/>
              </w:rPr>
              <w:t>Net liquidity</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C00000"/>
                <w:sz w:val="15"/>
              </w:rPr>
              <w:t>-869002.27</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Net liquidity z-score</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monetary</w:t>
            </w:r>
          </w:p>
        </w:tc>
        <w:tc>
          <w:tcPr>
            <w:tcW w:type="dxa" w:w="1552"/>
            <w:shd w:fill="F7F9FC"/>
            <w:vAlign w:val="top"/>
          </w:tcPr>
          <w:p>
            <w:pPr>
              <w:spacing w:after="20" w:line="240" w:lineRule="auto"/>
            </w:pPr>
            <w:r>
              <w:rPr>
                <w:rFonts w:ascii="Arial" w:hAnsi="Arial"/>
                <w:b w:val="0"/>
                <w:color w:val="C00000"/>
                <w:sz w:val="15"/>
              </w:rPr>
              <w:t>-0.24</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Hy Spread Chg 4W</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credit</w:t>
            </w:r>
          </w:p>
        </w:tc>
        <w:tc>
          <w:tcPr>
            <w:tcW w:type="dxa" w:w="1552"/>
            <w:vAlign w:val="top"/>
          </w:tcPr>
          <w:p>
            <w:pPr>
              <w:spacing w:after="20" w:line="240" w:lineRule="auto"/>
            </w:pPr>
            <w:r>
              <w:rPr>
                <w:rFonts w:ascii="Arial" w:hAnsi="Arial"/>
                <w:b w:val="0"/>
                <w:color w:val="C00000"/>
                <w:sz w:val="15"/>
              </w:rPr>
              <w:t>-6.00</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Vix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volatility</w:t>
            </w:r>
          </w:p>
        </w:tc>
        <w:tc>
          <w:tcPr>
            <w:tcW w:type="dxa" w:w="1552"/>
            <w:shd w:fill="F7F9FC"/>
            <w:vAlign w:val="top"/>
          </w:tcPr>
          <w:p>
            <w:pPr>
              <w:spacing w:after="20" w:line="240" w:lineRule="auto"/>
            </w:pPr>
            <w:r>
              <w:rPr>
                <w:rFonts w:ascii="Arial" w:hAnsi="Arial"/>
                <w:b w:val="0"/>
                <w:color w:val="595959"/>
                <w:sz w:val="15"/>
              </w:rPr>
              <w:t>21.51</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Vix Term Slope</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0.31</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Vvix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volatility</w:t>
            </w:r>
          </w:p>
        </w:tc>
        <w:tc>
          <w:tcPr>
            <w:tcW w:type="dxa" w:w="1552"/>
            <w:shd w:fill="F7F9FC"/>
            <w:vAlign w:val="top"/>
          </w:tcPr>
          <w:p>
            <w:pPr>
              <w:spacing w:after="20" w:line="240" w:lineRule="auto"/>
            </w:pPr>
            <w:r>
              <w:rPr>
                <w:rFonts w:ascii="Arial" w:hAnsi="Arial"/>
                <w:b w:val="0"/>
                <w:color w:val="595959"/>
                <w:sz w:val="15"/>
              </w:rPr>
              <w:t>102.04</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Vvix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0.12</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Sectors Green</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595959"/>
                <w:sz w:val="15"/>
              </w:rPr>
              <w:t>5.00</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Cot Net Large Spec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positioning</w:t>
            </w:r>
          </w:p>
        </w:tc>
        <w:tc>
          <w:tcPr>
            <w:tcW w:type="dxa" w:w="1552"/>
            <w:vAlign w:val="top"/>
          </w:tcPr>
          <w:p>
            <w:pPr>
              <w:spacing w:after="20" w:line="240" w:lineRule="auto"/>
            </w:pPr>
            <w:r>
              <w:rPr>
                <w:rFonts w:ascii="Arial" w:hAnsi="Arial"/>
                <w:b w:val="0"/>
                <w:color w:val="C00000"/>
                <w:sz w:val="15"/>
              </w:rPr>
              <w:t>-1.63</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bl>
    <w:p>
      <w:pPr>
        <w:spacing w:after="120"/>
      </w:pPr>
    </w:p>
    <w:p>
      <w:pPr>
        <w:spacing w:before="180" w:after="80"/>
      </w:pPr>
      <w:r>
        <w:rPr>
          <w:rFonts w:ascii="Arial" w:hAnsi="Arial"/>
          <w:b/>
          <w:color w:val="2E75B6"/>
          <w:sz w:val="21"/>
        </w:rPr>
        <w:t>Composite Signals</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Composite</w:t>
            </w:r>
          </w:p>
        </w:tc>
        <w:tc>
          <w:tcPr>
            <w:tcW w:type="dxa" w:w="1995"/>
            <w:shd w:fill="1F4E79"/>
            <w:vAlign w:val="top"/>
          </w:tcPr>
          <w:p>
            <w:pPr>
              <w:spacing w:after="20" w:line="240" w:lineRule="auto"/>
            </w:pPr>
            <w:r>
              <w:rPr>
                <w:rFonts w:ascii="Arial" w:hAnsi="Arial"/>
                <w:b/>
                <w:color w:val="FFFFFF"/>
                <w:sz w:val="15"/>
              </w:rPr>
              <w:t>Parent Layer</w:t>
            </w:r>
          </w:p>
        </w:tc>
        <w:tc>
          <w:tcPr>
            <w:tcW w:type="dxa" w:w="1995"/>
            <w:shd w:fill="1F4E79"/>
            <w:vAlign w:val="top"/>
          </w:tcPr>
          <w:p>
            <w:pPr>
              <w:spacing w:after="20" w:line="240" w:lineRule="auto"/>
            </w:pPr>
            <w:r>
              <w:rPr>
                <w:rFonts w:ascii="Arial" w:hAnsi="Arial"/>
                <w:b/>
                <w:color w:val="FFFFFF"/>
                <w:sz w:val="15"/>
              </w:rPr>
              <w:t>Signal</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Child Signals</w:t>
            </w:r>
          </w:p>
        </w:tc>
        <w:tc>
          <w:tcPr>
            <w:tcW w:type="dxa" w:w="1995"/>
            <w:shd w:fill="1F4E79"/>
            <w:vAlign w:val="top"/>
          </w:tcPr>
          <w:p>
            <w:pPr>
              <w:spacing w:after="20" w:line="240" w:lineRule="auto"/>
            </w:pPr>
            <w:r>
              <w:rPr>
                <w:rFonts w:ascii="Arial" w:hAnsi="Arial"/>
                <w:b/>
                <w:color w:val="FFFFFF"/>
                <w:sz w:val="15"/>
              </w:rPr>
              <w:t>Scenario Effects</w:t>
            </w:r>
          </w:p>
        </w:tc>
      </w:tr>
      <w:tr>
        <w:tc>
          <w:tcPr>
            <w:tcW w:type="dxa" w:w="1995"/>
            <w:vAlign w:val="top"/>
          </w:tcPr>
          <w:p>
            <w:pPr>
              <w:spacing w:after="20" w:line="240" w:lineRule="auto"/>
            </w:pPr>
            <w:r>
              <w:rPr>
                <w:rFonts w:ascii="Arial" w:hAnsi="Arial"/>
                <w:b w:val="0"/>
                <w:color w:val="595959"/>
                <w:sz w:val="15"/>
              </w:rPr>
              <w:t>Monetary policy composite</w:t>
            </w:r>
          </w:p>
        </w:tc>
        <w:tc>
          <w:tcPr>
            <w:tcW w:type="dxa" w:w="1995"/>
            <w:vAlign w:val="top"/>
          </w:tcPr>
          <w:p>
            <w:pPr>
              <w:spacing w:after="20" w:line="240" w:lineRule="auto"/>
            </w:pPr>
            <w:r>
              <w:rPr>
                <w:rFonts w:ascii="Arial" w:hAnsi="Arial"/>
                <w:b w:val="0"/>
                <w:color w:val="595959"/>
                <w:sz w:val="15"/>
              </w:rPr>
              <w:t>monetary</w:t>
            </w:r>
          </w:p>
        </w:tc>
        <w:tc>
          <w:tcPr>
            <w:tcW w:type="dxa" w:w="1995"/>
            <w:vAlign w:val="top"/>
          </w:tcPr>
          <w:p>
            <w:pPr>
              <w:spacing w:after="20" w:line="240" w:lineRule="auto"/>
            </w:pPr>
            <w:r>
              <w:rPr>
                <w:rFonts w:ascii="Arial" w:hAnsi="Arial"/>
                <w:b w:val="0"/>
                <w:color w:val="595959"/>
                <w:sz w:val="15"/>
              </w:rPr>
              <w:t>mixed</w:t>
            </w:r>
          </w:p>
        </w:tc>
        <w:tc>
          <w:tcPr>
            <w:tcW w:type="dxa" w:w="1995"/>
            <w:vAlign w:val="top"/>
          </w:tcPr>
          <w:p>
            <w:pPr>
              <w:spacing w:after="20" w:line="240" w:lineRule="auto"/>
            </w:pPr>
            <w:r>
              <w:rPr>
                <w:rFonts w:ascii="Arial" w:hAnsi="Arial"/>
                <w:b w:val="0"/>
                <w:color w:val="595959"/>
                <w:sz w:val="15"/>
              </w:rPr>
              <w:t>0.64</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monetary_conditions, fed_path</w:t>
            </w:r>
          </w:p>
        </w:tc>
        <w:tc>
          <w:tcPr>
            <w:tcW w:type="dxa" w:w="1995"/>
            <w:vAlign w:val="top"/>
          </w:tcPr>
          <w:p>
            <w:pPr>
              <w:spacing w:after="20" w:line="240" w:lineRule="auto"/>
            </w:pPr>
            <w:r>
              <w:rPr>
                <w:rFonts w:ascii="Arial" w:hAnsi="Arial"/>
                <w:b w:val="0"/>
                <w:color w:val="595959"/>
                <w:sz w:val="15"/>
              </w:rPr>
              <w:t>sticky_late_cycle_ai increases 0.25, oil_inflation_tail increases 0.20, reopening_soft_landing decreases 0.25</w:t>
            </w:r>
          </w:p>
        </w:tc>
      </w:tr>
    </w:tbl>
    <w:p>
      <w:pPr>
        <w:spacing w:after="120"/>
      </w:pPr>
    </w:p>
    <w:p>
      <w:pPr>
        <w:spacing w:before="180" w:after="80"/>
      </w:pPr>
      <w:r>
        <w:rPr>
          <w:rFonts w:ascii="Arial" w:hAnsi="Arial"/>
          <w:b/>
          <w:color w:val="2E75B6"/>
          <w:sz w:val="21"/>
        </w:rPr>
        <w:t>Market/Tape Signals</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Input</w:t>
            </w:r>
          </w:p>
        </w:tc>
        <w:tc>
          <w:tcPr>
            <w:tcW w:type="dxa" w:w="1995"/>
            <w:shd w:fill="1F4E79"/>
            <w:vAlign w:val="top"/>
          </w:tcPr>
          <w:p>
            <w:pPr>
              <w:spacing w:after="20" w:line="240" w:lineRule="auto"/>
            </w:pPr>
            <w:r>
              <w:rPr>
                <w:rFonts w:ascii="Arial" w:hAnsi="Arial"/>
                <w:b/>
                <w:color w:val="FFFFFF"/>
                <w:sz w:val="15"/>
              </w:rPr>
              <w:t>Raw Value</w:t>
            </w:r>
          </w:p>
        </w:tc>
        <w:tc>
          <w:tcPr>
            <w:tcW w:type="dxa" w:w="1995"/>
            <w:shd w:fill="1F4E79"/>
            <w:vAlign w:val="top"/>
          </w:tcPr>
          <w:p>
            <w:pPr>
              <w:spacing w:after="20" w:line="240" w:lineRule="auto"/>
            </w:pPr>
            <w:r>
              <w:rPr>
                <w:rFonts w:ascii="Arial" w:hAnsi="Arial"/>
                <w:b/>
                <w:color w:val="FFFFFF"/>
                <w:sz w:val="15"/>
              </w:rPr>
              <w:t>Status</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Horizon/Dedupe Effect</w:t>
            </w:r>
          </w:p>
        </w:tc>
        <w:tc>
          <w:tcPr>
            <w:tcW w:type="dxa" w:w="1995"/>
            <w:shd w:fill="1F4E79"/>
            <w:vAlign w:val="top"/>
          </w:tcPr>
          <w:p>
            <w:pPr>
              <w:spacing w:after="20" w:line="240" w:lineRule="auto"/>
            </w:pPr>
            <w:r>
              <w:rPr>
                <w:rFonts w:ascii="Arial" w:hAnsi="Arial"/>
                <w:b/>
                <w:color w:val="FFFFFF"/>
                <w:sz w:val="15"/>
              </w:rPr>
              <w:t>Top Scenario Effects</w:t>
            </w:r>
          </w:p>
        </w:tc>
      </w:tr>
      <w:tr>
        <w:tc>
          <w:tcPr>
            <w:tcW w:type="dxa" w:w="1995"/>
            <w:vAlign w:val="top"/>
          </w:tcPr>
          <w:p>
            <w:pPr>
              <w:spacing w:after="20" w:line="240" w:lineRule="auto"/>
            </w:pPr>
            <w:r>
              <w:rPr>
                <w:rFonts w:ascii="Arial" w:hAnsi="Arial"/>
                <w:b w:val="0"/>
                <w:color w:val="595959"/>
                <w:sz w:val="15"/>
              </w:rPr>
              <w:t>SPY return</w:t>
            </w:r>
          </w:p>
        </w:tc>
        <w:tc>
          <w:tcPr>
            <w:tcW w:type="dxa" w:w="1995"/>
            <w:vAlign w:val="top"/>
          </w:tcPr>
          <w:p>
            <w:pPr>
              <w:spacing w:after="20" w:line="240" w:lineRule="auto"/>
            </w:pPr>
            <w:r>
              <w:rPr>
                <w:rFonts w:ascii="Arial" w:hAnsi="Arial"/>
                <w:b w:val="0"/>
                <w:color w:val="595959"/>
                <w:sz w:val="15"/>
              </w:rPr>
              <w:t>14.75</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0.05</w:t>
            </w:r>
          </w:p>
        </w:tc>
      </w:tr>
      <w:tr>
        <w:tc>
          <w:tcPr>
            <w:tcW w:type="dxa" w:w="1995"/>
            <w:shd w:fill="F7F9FC"/>
            <w:vAlign w:val="top"/>
          </w:tcPr>
          <w:p>
            <w:pPr>
              <w:spacing w:after="20" w:line="240" w:lineRule="auto"/>
            </w:pPr>
            <w:r>
              <w:rPr>
                <w:rFonts w:ascii="Arial" w:hAnsi="Arial"/>
                <w:b w:val="0"/>
                <w:color w:val="595959"/>
                <w:sz w:val="15"/>
              </w:rPr>
              <w:t>QQQ return</w:t>
            </w:r>
          </w:p>
        </w:tc>
        <w:tc>
          <w:tcPr>
            <w:tcW w:type="dxa" w:w="1995"/>
            <w:shd w:fill="F7F9FC"/>
            <w:vAlign w:val="top"/>
          </w:tcPr>
          <w:p>
            <w:pPr>
              <w:spacing w:after="20" w:line="240" w:lineRule="auto"/>
            </w:pPr>
            <w:r>
              <w:rPr>
                <w:rFonts w:ascii="Arial" w:hAnsi="Arial"/>
                <w:b w:val="0"/>
                <w:color w:val="595959"/>
                <w:sz w:val="15"/>
              </w:rPr>
              <w:t>24.46</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sticky_late_cycle_ai increases 0.05</w:t>
            </w:r>
          </w:p>
        </w:tc>
      </w:tr>
      <w:tr>
        <w:tc>
          <w:tcPr>
            <w:tcW w:type="dxa" w:w="1995"/>
            <w:vAlign w:val="top"/>
          </w:tcPr>
          <w:p>
            <w:pPr>
              <w:spacing w:after="20" w:line="240" w:lineRule="auto"/>
            </w:pPr>
            <w:r>
              <w:rPr>
                <w:rFonts w:ascii="Arial" w:hAnsi="Arial"/>
                <w:b w:val="0"/>
                <w:color w:val="595959"/>
                <w:sz w:val="15"/>
              </w:rPr>
              <w:t>IWM return</w:t>
            </w:r>
          </w:p>
        </w:tc>
        <w:tc>
          <w:tcPr>
            <w:tcW w:type="dxa" w:w="1995"/>
            <w:vAlign w:val="top"/>
          </w:tcPr>
          <w:p>
            <w:pPr>
              <w:spacing w:after="20" w:line="240" w:lineRule="auto"/>
            </w:pPr>
            <w:r>
              <w:rPr>
                <w:rFonts w:ascii="Arial" w:hAnsi="Arial"/>
                <w:b w:val="0"/>
                <w:color w:val="595959"/>
                <w:sz w:val="15"/>
              </w:rPr>
              <w:t>20.56</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0.08</w:t>
            </w:r>
          </w:p>
        </w:tc>
      </w:tr>
      <w:tr>
        <w:tc>
          <w:tcPr>
            <w:tcW w:type="dxa" w:w="1995"/>
            <w:shd w:fill="F7F9FC"/>
            <w:vAlign w:val="top"/>
          </w:tcPr>
          <w:p>
            <w:pPr>
              <w:spacing w:after="20" w:line="240" w:lineRule="auto"/>
            </w:pPr>
            <w:r>
              <w:rPr>
                <w:rFonts w:ascii="Arial" w:hAnsi="Arial"/>
                <w:b w:val="0"/>
                <w:color w:val="595959"/>
                <w:sz w:val="15"/>
              </w:rPr>
              <w:t>TLT return</w:t>
            </w:r>
          </w:p>
        </w:tc>
        <w:tc>
          <w:tcPr>
            <w:tcW w:type="dxa" w:w="1995"/>
            <w:shd w:fill="F7F9FC"/>
            <w:vAlign w:val="top"/>
          </w:tcPr>
          <w:p>
            <w:pPr>
              <w:spacing w:after="20" w:line="240" w:lineRule="auto"/>
            </w:pPr>
            <w:r>
              <w:rPr>
                <w:rFonts w:ascii="Arial" w:hAnsi="Arial"/>
                <w:b w:val="0"/>
                <w:color w:val="595959"/>
                <w:sz w:val="15"/>
              </w:rPr>
              <w:t>0.23</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late_cycle_risk_off increases 0.05</w:t>
            </w:r>
          </w:p>
        </w:tc>
      </w:tr>
      <w:tr>
        <w:tc>
          <w:tcPr>
            <w:tcW w:type="dxa" w:w="1995"/>
            <w:vAlign w:val="top"/>
          </w:tcPr>
          <w:p>
            <w:pPr>
              <w:spacing w:after="20" w:line="240" w:lineRule="auto"/>
            </w:pPr>
            <w:r>
              <w:rPr>
                <w:rFonts w:ascii="Arial" w:hAnsi="Arial"/>
                <w:b w:val="0"/>
                <w:color w:val="595959"/>
                <w:sz w:val="15"/>
              </w:rPr>
              <w:t>HYG return</w:t>
            </w:r>
          </w:p>
        </w:tc>
        <w:tc>
          <w:tcPr>
            <w:tcW w:type="dxa" w:w="1995"/>
            <w:vAlign w:val="top"/>
          </w:tcPr>
          <w:p>
            <w:pPr>
              <w:spacing w:after="20" w:line="240" w:lineRule="auto"/>
            </w:pPr>
            <w:r>
              <w:rPr>
                <w:rFonts w:ascii="Arial" w:hAnsi="Arial"/>
                <w:b w:val="0"/>
                <w:color w:val="595959"/>
                <w:sz w:val="15"/>
              </w:rPr>
              <w:t>1.97</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late_cycle_risk_off decreases 0.07</w:t>
            </w:r>
          </w:p>
        </w:tc>
      </w:tr>
      <w:tr>
        <w:tc>
          <w:tcPr>
            <w:tcW w:type="dxa" w:w="1995"/>
            <w:shd w:fill="F7F9FC"/>
            <w:vAlign w:val="top"/>
          </w:tcPr>
          <w:p>
            <w:pPr>
              <w:spacing w:after="20" w:line="240" w:lineRule="auto"/>
            </w:pPr>
            <w:r>
              <w:rPr>
                <w:rFonts w:ascii="Arial" w:hAnsi="Arial"/>
                <w:b w:val="0"/>
                <w:color w:val="595959"/>
                <w:sz w:val="15"/>
              </w:rPr>
              <w:t>GLD return</w:t>
            </w:r>
          </w:p>
        </w:tc>
        <w:tc>
          <w:tcPr>
            <w:tcW w:type="dxa" w:w="1995"/>
            <w:shd w:fill="F7F9FC"/>
            <w:vAlign w:val="top"/>
          </w:tcPr>
          <w:p>
            <w:pPr>
              <w:spacing w:after="20" w:line="240" w:lineRule="auto"/>
            </w:pPr>
            <w:r>
              <w:rPr>
                <w:rFonts w:ascii="Arial" w:hAnsi="Arial"/>
                <w:b w:val="0"/>
                <w:color w:val="C00000"/>
                <w:sz w:val="15"/>
              </w:rPr>
              <w:t>-13.58</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oil_inflation_tail decreases 0.05</w:t>
            </w:r>
          </w:p>
        </w:tc>
      </w:tr>
      <w:tr>
        <w:tc>
          <w:tcPr>
            <w:tcW w:type="dxa" w:w="1995"/>
            <w:vAlign w:val="top"/>
          </w:tcPr>
          <w:p>
            <w:pPr>
              <w:spacing w:after="20" w:line="240" w:lineRule="auto"/>
            </w:pPr>
            <w:r>
              <w:rPr>
                <w:rFonts w:ascii="Arial" w:hAnsi="Arial"/>
                <w:b w:val="0"/>
                <w:color w:val="595959"/>
                <w:sz w:val="15"/>
              </w:rPr>
              <w:t>USO return</w:t>
            </w:r>
          </w:p>
        </w:tc>
        <w:tc>
          <w:tcPr>
            <w:tcW w:type="dxa" w:w="1995"/>
            <w:vAlign w:val="top"/>
          </w:tcPr>
          <w:p>
            <w:pPr>
              <w:spacing w:after="20" w:line="240" w:lineRule="auto"/>
            </w:pPr>
            <w:r>
              <w:rPr>
                <w:rFonts w:ascii="Arial" w:hAnsi="Arial"/>
                <w:b w:val="0"/>
                <w:color w:val="C00000"/>
                <w:sz w:val="15"/>
              </w:rPr>
              <w:t>-17.33</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oil_inflation_tail decreases 0.05</w:t>
            </w:r>
          </w:p>
        </w:tc>
      </w:tr>
      <w:tr>
        <w:tc>
          <w:tcPr>
            <w:tcW w:type="dxa" w:w="1995"/>
            <w:shd w:fill="F7F9FC"/>
            <w:vAlign w:val="top"/>
          </w:tcPr>
          <w:p>
            <w:pPr>
              <w:spacing w:after="20" w:line="240" w:lineRule="auto"/>
            </w:pPr>
            <w:r>
              <w:rPr>
                <w:rFonts w:ascii="Arial" w:hAnsi="Arial"/>
                <w:b w:val="0"/>
                <w:color w:val="595959"/>
                <w:sz w:val="15"/>
              </w:rPr>
              <w:t>BTC return</w:t>
            </w:r>
          </w:p>
        </w:tc>
        <w:tc>
          <w:tcPr>
            <w:tcW w:type="dxa" w:w="1995"/>
            <w:shd w:fill="F7F9FC"/>
            <w:vAlign w:val="top"/>
          </w:tcPr>
          <w:p>
            <w:pPr>
              <w:spacing w:after="20" w:line="240" w:lineRule="auto"/>
            </w:pPr>
            <w:r>
              <w:rPr>
                <w:rFonts w:ascii="Arial" w:hAnsi="Arial"/>
                <w:b w:val="0"/>
                <w:color w:val="C00000"/>
                <w:sz w:val="15"/>
              </w:rPr>
              <w:t>-19.16</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late_cycle_risk_off increases 0.06</w:t>
            </w:r>
          </w:p>
        </w:tc>
      </w:tr>
      <w:tr>
        <w:tc>
          <w:tcPr>
            <w:tcW w:type="dxa" w:w="1995"/>
            <w:vAlign w:val="top"/>
          </w:tcPr>
          <w:p>
            <w:pPr>
              <w:spacing w:after="20" w:line="240" w:lineRule="auto"/>
            </w:pPr>
            <w:r>
              <w:rPr>
                <w:rFonts w:ascii="Arial" w:hAnsi="Arial"/>
                <w:b w:val="0"/>
                <w:color w:val="595959"/>
                <w:sz w:val="15"/>
              </w:rPr>
              <w:t>RSP return</w:t>
            </w:r>
          </w:p>
        </w:tc>
        <w:tc>
          <w:tcPr>
            <w:tcW w:type="dxa" w:w="1995"/>
            <w:vAlign w:val="top"/>
          </w:tcPr>
          <w:p>
            <w:pPr>
              <w:spacing w:after="20" w:line="240" w:lineRule="auto"/>
            </w:pPr>
            <w:r>
              <w:rPr>
                <w:rFonts w:ascii="Arial" w:hAnsi="Arial"/>
                <w:b w:val="0"/>
                <w:color w:val="595959"/>
                <w:sz w:val="15"/>
              </w:rPr>
              <w:t>11.92</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0.08</w:t>
            </w:r>
          </w:p>
        </w:tc>
      </w:tr>
      <w:tr>
        <w:tc>
          <w:tcPr>
            <w:tcW w:type="dxa" w:w="1995"/>
            <w:shd w:fill="F7F9FC"/>
            <w:vAlign w:val="top"/>
          </w:tcPr>
          <w:p>
            <w:pPr>
              <w:spacing w:after="20" w:line="240" w:lineRule="auto"/>
            </w:pPr>
            <w:r>
              <w:rPr>
                <w:rFonts w:ascii="Arial" w:hAnsi="Arial"/>
                <w:b w:val="0"/>
                <w:color w:val="595959"/>
                <w:sz w:val="15"/>
              </w:rPr>
              <w:t>HYG minus TLT risk-on proxy</w:t>
            </w:r>
          </w:p>
        </w:tc>
        <w:tc>
          <w:tcPr>
            <w:tcW w:type="dxa" w:w="1995"/>
            <w:shd w:fill="F7F9FC"/>
            <w:vAlign w:val="top"/>
          </w:tcPr>
          <w:p>
            <w:pPr>
              <w:spacing w:after="20" w:line="240" w:lineRule="auto"/>
            </w:pPr>
            <w:r>
              <w:rPr>
                <w:rFonts w:ascii="Arial" w:hAnsi="Arial"/>
                <w:b w:val="0"/>
                <w:color w:val="595959"/>
                <w:sz w:val="15"/>
              </w:rPr>
              <w:t>1.75</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0.10, late_cycle_risk_off decreases 0.08</w:t>
            </w:r>
          </w:p>
        </w:tc>
      </w:tr>
      <w:tr>
        <w:tc>
          <w:tcPr>
            <w:tcW w:type="dxa" w:w="1995"/>
            <w:vAlign w:val="top"/>
          </w:tcPr>
          <w:p>
            <w:pPr>
              <w:spacing w:after="20" w:line="240" w:lineRule="auto"/>
            </w:pPr>
            <w:r>
              <w:rPr>
                <w:rFonts w:ascii="Arial" w:hAnsi="Arial"/>
                <w:b w:val="0"/>
                <w:color w:val="595959"/>
                <w:sz w:val="15"/>
              </w:rPr>
              <w:t>RSP minus SPY participation proxy</w:t>
            </w:r>
          </w:p>
        </w:tc>
        <w:tc>
          <w:tcPr>
            <w:tcW w:type="dxa" w:w="1995"/>
            <w:vAlign w:val="top"/>
          </w:tcPr>
          <w:p>
            <w:pPr>
              <w:spacing w:after="20" w:line="240" w:lineRule="auto"/>
            </w:pPr>
            <w:r>
              <w:rPr>
                <w:rFonts w:ascii="Arial" w:hAnsi="Arial"/>
                <w:b w:val="0"/>
                <w:color w:val="C00000"/>
                <w:sz w:val="15"/>
              </w:rPr>
              <w:t>-2.83</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0.12, reopening_soft_landing decreases 0.10</w:t>
            </w:r>
          </w:p>
        </w:tc>
      </w:tr>
      <w:tr>
        <w:tc>
          <w:tcPr>
            <w:tcW w:type="dxa" w:w="1995"/>
            <w:shd w:fill="F7F9FC"/>
            <w:vAlign w:val="top"/>
          </w:tcPr>
          <w:p>
            <w:pPr>
              <w:spacing w:after="20" w:line="240" w:lineRule="auto"/>
            </w:pPr>
            <w:r>
              <w:rPr>
                <w:rFonts w:ascii="Arial" w:hAnsi="Arial"/>
                <w:b w:val="0"/>
                <w:color w:val="595959"/>
                <w:sz w:val="15"/>
              </w:rPr>
              <w:t>IWM minus SPY small-cap leadership</w:t>
            </w:r>
          </w:p>
        </w:tc>
        <w:tc>
          <w:tcPr>
            <w:tcW w:type="dxa" w:w="1995"/>
            <w:shd w:fill="F7F9FC"/>
            <w:vAlign w:val="top"/>
          </w:tcPr>
          <w:p>
            <w:pPr>
              <w:spacing w:after="20" w:line="240" w:lineRule="auto"/>
            </w:pPr>
            <w:r>
              <w:rPr>
                <w:rFonts w:ascii="Arial" w:hAnsi="Arial"/>
                <w:b w:val="0"/>
                <w:color w:val="595959"/>
                <w:sz w:val="15"/>
              </w:rPr>
              <w:t>5.81</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0.10</w:t>
            </w:r>
          </w:p>
        </w:tc>
      </w:tr>
      <w:tr>
        <w:tc>
          <w:tcPr>
            <w:tcW w:type="dxa" w:w="1995"/>
            <w:vAlign w:val="top"/>
          </w:tcPr>
          <w:p>
            <w:pPr>
              <w:spacing w:after="20" w:line="240" w:lineRule="auto"/>
            </w:pPr>
            <w:r>
              <w:rPr>
                <w:rFonts w:ascii="Arial" w:hAnsi="Arial"/>
                <w:b w:val="0"/>
                <w:color w:val="595959"/>
                <w:sz w:val="15"/>
              </w:rPr>
              <w:t>QQQ minus SPY growth leadership</w:t>
            </w:r>
          </w:p>
        </w:tc>
        <w:tc>
          <w:tcPr>
            <w:tcW w:type="dxa" w:w="1995"/>
            <w:vAlign w:val="top"/>
          </w:tcPr>
          <w:p>
            <w:pPr>
              <w:spacing w:after="20" w:line="240" w:lineRule="auto"/>
            </w:pPr>
            <w:r>
              <w:rPr>
                <w:rFonts w:ascii="Arial" w:hAnsi="Arial"/>
                <w:b w:val="0"/>
                <w:color w:val="595959"/>
                <w:sz w:val="15"/>
              </w:rPr>
              <w:t>9.71</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0.08</w:t>
            </w:r>
          </w:p>
        </w:tc>
      </w:tr>
      <w:tr>
        <w:tc>
          <w:tcPr>
            <w:tcW w:type="dxa" w:w="1995"/>
            <w:shd w:fill="F7F9FC"/>
            <w:vAlign w:val="top"/>
          </w:tcPr>
          <w:p>
            <w:pPr>
              <w:spacing w:after="20" w:line="240" w:lineRule="auto"/>
            </w:pPr>
            <w:r>
              <w:rPr>
                <w:rFonts w:ascii="Arial" w:hAnsi="Arial"/>
                <w:b w:val="0"/>
                <w:color w:val="595959"/>
                <w:sz w:val="15"/>
              </w:rPr>
              <w:t>Market tape leadership top 3</w:t>
            </w:r>
          </w:p>
        </w:tc>
        <w:tc>
          <w:tcPr>
            <w:tcW w:type="dxa" w:w="1995"/>
            <w:shd w:fill="F7F9FC"/>
            <w:vAlign w:val="top"/>
          </w:tcPr>
          <w:p>
            <w:pPr>
              <w:spacing w:after="20" w:line="240" w:lineRule="auto"/>
            </w:pPr>
            <w:r>
              <w:rPr>
                <w:rFonts w:ascii="Arial" w:hAnsi="Arial"/>
                <w:b w:val="0"/>
                <w:color w:val="595959"/>
                <w:sz w:val="15"/>
              </w:rPr>
              <w:t>Technology +37.8%, Industrials +12.7%, Financials +12.1%</w:t>
            </w:r>
          </w:p>
        </w:tc>
        <w:tc>
          <w:tcPr>
            <w:tcW w:type="dxa" w:w="1995"/>
            <w:shd w:fill="F7F9FC"/>
            <w:vAlign w:val="top"/>
          </w:tcPr>
          <w:p>
            <w:pPr>
              <w:spacing w:after="20" w:line="240" w:lineRule="auto"/>
            </w:pPr>
            <w:r>
              <w:rPr>
                <w:rFonts w:ascii="Arial" w:hAnsi="Arial"/>
                <w:b w:val="0"/>
                <w:color w:val="595959"/>
                <w:sz w:val="15"/>
              </w:rPr>
              <w:t>mixed</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sticky_late_cycle_ai increases 0.07</w:t>
            </w:r>
          </w:p>
        </w:tc>
      </w:tr>
      <w:tr>
        <w:tc>
          <w:tcPr>
            <w:tcW w:type="dxa" w:w="1995"/>
            <w:vAlign w:val="top"/>
          </w:tcPr>
          <w:p>
            <w:pPr>
              <w:spacing w:after="20" w:line="240" w:lineRule="auto"/>
            </w:pPr>
            <w:r>
              <w:rPr>
                <w:rFonts w:ascii="Arial" w:hAnsi="Arial"/>
                <w:b w:val="0"/>
                <w:color w:val="595959"/>
                <w:sz w:val="15"/>
              </w:rPr>
              <w:t>Market tape sector dispersion</w:t>
            </w:r>
          </w:p>
        </w:tc>
        <w:tc>
          <w:tcPr>
            <w:tcW w:type="dxa" w:w="1995"/>
            <w:vAlign w:val="top"/>
          </w:tcPr>
          <w:p>
            <w:pPr>
              <w:spacing w:after="20" w:line="240" w:lineRule="auto"/>
            </w:pPr>
            <w:r>
              <w:rPr>
                <w:rFonts w:ascii="Arial" w:hAnsi="Arial"/>
                <w:b w:val="0"/>
                <w:color w:val="595959"/>
                <w:sz w:val="15"/>
              </w:rPr>
              <w:t>11.47</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late_cycle_risk_off increases 0.06</w:t>
            </w:r>
          </w:p>
        </w:tc>
      </w:tr>
      <w:tr>
        <w:tc>
          <w:tcPr>
            <w:tcW w:type="dxa" w:w="1995"/>
            <w:shd w:fill="F7F9FC"/>
            <w:vAlign w:val="top"/>
          </w:tcPr>
          <w:p>
            <w:pPr>
              <w:spacing w:after="20" w:line="240" w:lineRule="auto"/>
            </w:pPr>
            <w:r>
              <w:rPr>
                <w:rFonts w:ascii="Arial" w:hAnsi="Arial"/>
                <w:b w:val="0"/>
                <w:color w:val="595959"/>
                <w:sz w:val="15"/>
              </w:rPr>
              <w:t>Spy Above Vwap</w:t>
            </w:r>
          </w:p>
        </w:tc>
        <w:tc>
          <w:tcPr>
            <w:tcW w:type="dxa" w:w="1995"/>
            <w:shd w:fill="F7F9FC"/>
            <w:vAlign w:val="top"/>
          </w:tcPr>
          <w:p>
            <w:pPr>
              <w:spacing w:after="20" w:line="240" w:lineRule="auto"/>
            </w:pPr>
            <w:r>
              <w:rPr>
                <w:rFonts w:ascii="Arial" w:hAnsi="Arial"/>
                <w:b w:val="0"/>
                <w:color w:val="595959"/>
                <w:sz w:val="15"/>
              </w:rPr>
              <w:t>True</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0.04</w:t>
            </w:r>
          </w:p>
        </w:tc>
      </w:tr>
      <w:tr>
        <w:tc>
          <w:tcPr>
            <w:tcW w:type="dxa" w:w="1995"/>
            <w:vAlign w:val="top"/>
          </w:tcPr>
          <w:p>
            <w:pPr>
              <w:spacing w:after="20" w:line="240" w:lineRule="auto"/>
            </w:pPr>
            <w:r>
              <w:rPr>
                <w:rFonts w:ascii="Arial" w:hAnsi="Arial"/>
                <w:b w:val="0"/>
                <w:color w:val="595959"/>
                <w:sz w:val="15"/>
              </w:rPr>
              <w:t>Spy Above Prev Close</w:t>
            </w:r>
          </w:p>
        </w:tc>
        <w:tc>
          <w:tcPr>
            <w:tcW w:type="dxa" w:w="1995"/>
            <w:vAlign w:val="top"/>
          </w:tcPr>
          <w:p>
            <w:pPr>
              <w:spacing w:after="20" w:line="240" w:lineRule="auto"/>
            </w:pPr>
            <w:r>
              <w:rPr>
                <w:rFonts w:ascii="Arial" w:hAnsi="Arial"/>
                <w:b w:val="0"/>
                <w:color w:val="595959"/>
                <w:sz w:val="15"/>
              </w:rPr>
              <w:t>True</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0.04</w:t>
            </w:r>
          </w:p>
        </w:tc>
      </w:tr>
      <w:tr>
        <w:tc>
          <w:tcPr>
            <w:tcW w:type="dxa" w:w="1995"/>
            <w:shd w:fill="F7F9FC"/>
            <w:vAlign w:val="top"/>
          </w:tcPr>
          <w:p>
            <w:pPr>
              <w:spacing w:after="20" w:line="240" w:lineRule="auto"/>
            </w:pPr>
            <w:r>
              <w:rPr>
                <w:rFonts w:ascii="Arial" w:hAnsi="Arial"/>
                <w:b w:val="0"/>
                <w:color w:val="595959"/>
                <w:sz w:val="15"/>
              </w:rPr>
              <w:t>Spy Clv</w:t>
            </w:r>
          </w:p>
        </w:tc>
        <w:tc>
          <w:tcPr>
            <w:tcW w:type="dxa" w:w="1995"/>
            <w:shd w:fill="F7F9FC"/>
            <w:vAlign w:val="top"/>
          </w:tcPr>
          <w:p>
            <w:pPr>
              <w:spacing w:after="20" w:line="240" w:lineRule="auto"/>
            </w:pPr>
            <w:r>
              <w:rPr>
                <w:rFonts w:ascii="Arial" w:hAnsi="Arial"/>
                <w:b w:val="0"/>
                <w:color w:val="595959"/>
                <w:sz w:val="15"/>
              </w:rPr>
              <w:t>0.35</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reopening_soft_landing increases 0.06</w:t>
            </w:r>
          </w:p>
        </w:tc>
      </w:tr>
      <w:tr>
        <w:tc>
          <w:tcPr>
            <w:tcW w:type="dxa" w:w="1995"/>
            <w:vAlign w:val="top"/>
          </w:tcPr>
          <w:p>
            <w:pPr>
              <w:spacing w:after="20" w:line="240" w:lineRule="auto"/>
            </w:pPr>
            <w:r>
              <w:rPr>
                <w:rFonts w:ascii="Arial" w:hAnsi="Arial"/>
                <w:b w:val="0"/>
                <w:color w:val="595959"/>
                <w:sz w:val="15"/>
              </w:rPr>
              <w:t>Spy Range Pct</w:t>
            </w:r>
          </w:p>
        </w:tc>
        <w:tc>
          <w:tcPr>
            <w:tcW w:type="dxa" w:w="1995"/>
            <w:vAlign w:val="top"/>
          </w:tcPr>
          <w:p>
            <w:pPr>
              <w:spacing w:after="20" w:line="240" w:lineRule="auto"/>
            </w:pPr>
            <w:r>
              <w:rPr>
                <w:rFonts w:ascii="Arial" w:hAnsi="Arial"/>
                <w:b w:val="0"/>
                <w:color w:val="595959"/>
                <w:sz w:val="15"/>
              </w:rPr>
              <w:t>0.56</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0.50</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field from MarketState, horizon 3M.</w:t>
            </w:r>
          </w:p>
        </w:tc>
        <w:tc>
          <w:tcPr>
            <w:tcW w:type="dxa" w:w="1995"/>
            <w:vAlign w:val="top"/>
          </w:tcPr>
          <w:p>
            <w:pPr>
              <w:spacing w:after="20" w:line="240" w:lineRule="auto"/>
            </w:pPr>
            <w:r>
              <w:rPr>
                <w:rFonts w:ascii="Arial" w:hAnsi="Arial"/>
                <w:b w:val="0"/>
                <w:color w:val="595959"/>
                <w:sz w:val="15"/>
              </w:rPr>
              <w:t>reopening_soft_landing increases 0.06</w:t>
            </w:r>
          </w:p>
        </w:tc>
      </w:tr>
      <w:tr>
        <w:tc>
          <w:tcPr>
            <w:tcW w:type="dxa" w:w="1995"/>
            <w:shd w:fill="F7F9FC"/>
            <w:vAlign w:val="top"/>
          </w:tcPr>
          <w:p>
            <w:pPr>
              <w:spacing w:after="20" w:line="240" w:lineRule="auto"/>
            </w:pPr>
            <w:r>
              <w:rPr>
                <w:rFonts w:ascii="Arial" w:hAnsi="Arial"/>
                <w:b w:val="0"/>
                <w:color w:val="595959"/>
                <w:sz w:val="15"/>
              </w:rPr>
              <w:t>Spy Vol Z 20D</w:t>
            </w:r>
          </w:p>
        </w:tc>
        <w:tc>
          <w:tcPr>
            <w:tcW w:type="dxa" w:w="1995"/>
            <w:shd w:fill="F7F9FC"/>
            <w:vAlign w:val="top"/>
          </w:tcPr>
          <w:p>
            <w:pPr>
              <w:spacing w:after="20" w:line="240" w:lineRule="auto"/>
            </w:pPr>
            <w:r>
              <w:rPr>
                <w:rFonts w:ascii="Arial" w:hAnsi="Arial"/>
                <w:b w:val="0"/>
                <w:color w:val="C00000"/>
                <w:sz w:val="15"/>
              </w:rPr>
              <w:t>-2.86</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late_cycle_risk_off increases 0.06</w:t>
            </w:r>
          </w:p>
        </w:tc>
      </w:tr>
      <w:tr>
        <w:tc>
          <w:tcPr>
            <w:tcW w:type="dxa" w:w="1995"/>
            <w:vAlign w:val="top"/>
          </w:tcPr>
          <w:p>
            <w:pPr>
              <w:spacing w:after="20" w:line="240" w:lineRule="auto"/>
            </w:pPr>
            <w:r>
              <w:rPr>
                <w:rFonts w:ascii="Arial" w:hAnsi="Arial"/>
                <w:b w:val="0"/>
                <w:color w:val="595959"/>
                <w:sz w:val="15"/>
              </w:rPr>
              <w:t>Volume Confirmation</w:t>
            </w:r>
          </w:p>
        </w:tc>
        <w:tc>
          <w:tcPr>
            <w:tcW w:type="dxa" w:w="1995"/>
            <w:vAlign w:val="top"/>
          </w:tcPr>
          <w:p>
            <w:pPr>
              <w:spacing w:after="20" w:line="240" w:lineRule="auto"/>
            </w:pPr>
            <w:r>
              <w:rPr>
                <w:rFonts w:ascii="Arial" w:hAnsi="Arial"/>
                <w:b w:val="0"/>
                <w:color w:val="C00000"/>
                <w:sz w:val="15"/>
              </w:rPr>
              <w:t>-2.86</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0.50</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field from MarketState, horizon 3M.</w:t>
            </w:r>
          </w:p>
        </w:tc>
        <w:tc>
          <w:tcPr>
            <w:tcW w:type="dxa" w:w="1995"/>
            <w:vAlign w:val="top"/>
          </w:tcPr>
          <w:p>
            <w:pPr>
              <w:spacing w:after="20" w:line="240" w:lineRule="auto"/>
            </w:pPr>
            <w:r>
              <w:rPr>
                <w:rFonts w:ascii="Arial" w:hAnsi="Arial"/>
                <w:b w:val="0"/>
                <w:color w:val="595959"/>
                <w:sz w:val="15"/>
              </w:rPr>
              <w:t>late_cycle_risk_off increases 0.06</w:t>
            </w:r>
          </w:p>
        </w:tc>
      </w:tr>
      <w:tr>
        <w:tc>
          <w:tcPr>
            <w:tcW w:type="dxa" w:w="1995"/>
            <w:shd w:fill="F7F9FC"/>
            <w:vAlign w:val="top"/>
          </w:tcPr>
          <w:p>
            <w:pPr>
              <w:spacing w:after="20" w:line="240" w:lineRule="auto"/>
            </w:pPr>
            <w:r>
              <w:rPr>
                <w:rFonts w:ascii="Arial" w:hAnsi="Arial"/>
                <w:b w:val="0"/>
                <w:color w:val="595959"/>
                <w:sz w:val="15"/>
              </w:rPr>
              <w:t>Vix Change Pct 1D</w:t>
            </w:r>
          </w:p>
        </w:tc>
        <w:tc>
          <w:tcPr>
            <w:tcW w:type="dxa" w:w="1995"/>
            <w:shd w:fill="F7F9FC"/>
            <w:vAlign w:val="top"/>
          </w:tcPr>
          <w:p>
            <w:pPr>
              <w:spacing w:after="20" w:line="240" w:lineRule="auto"/>
            </w:pPr>
            <w:r>
              <w:rPr>
                <w:rFonts w:ascii="Arial" w:hAnsi="Arial"/>
                <w:b w:val="0"/>
                <w:color w:val="C00000"/>
                <w:sz w:val="15"/>
              </w:rPr>
              <w:t>-4.04</w:t>
            </w:r>
          </w:p>
        </w:tc>
        <w:tc>
          <w:tcPr>
            <w:tcW w:type="dxa" w:w="1995"/>
            <w:shd w:fill="F7F9FC"/>
            <w:vAlign w:val="top"/>
          </w:tcPr>
          <w:p>
            <w:pPr>
              <w:spacing w:after="20" w:line="240" w:lineRule="auto"/>
            </w:pPr>
            <w:r>
              <w:rPr>
                <w:rFonts w:ascii="Arial" w:hAnsi="Arial"/>
                <w:b w:val="0"/>
                <w:color w:val="595959"/>
                <w:sz w:val="15"/>
              </w:rPr>
              <w:t>neutral</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none</w:t>
            </w:r>
          </w:p>
        </w:tc>
      </w:tr>
    </w:tbl>
    <w:p>
      <w:pPr>
        <w:spacing w:after="120"/>
      </w:pPr>
    </w:p>
    <w:p>
      <w:pPr>
        <w:spacing w:before="180" w:after="80"/>
      </w:pPr>
      <w:r>
        <w:rPr>
          <w:rFonts w:ascii="Arial" w:hAnsi="Arial"/>
          <w:b/>
          <w:color w:val="2E75B6"/>
          <w:sz w:val="21"/>
        </w:rPr>
        <w:t>Regime-Specific Drivers</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Driver</w:t>
            </w:r>
          </w:p>
        </w:tc>
        <w:tc>
          <w:tcPr>
            <w:tcW w:type="dxa" w:w="2328"/>
            <w:shd w:fill="1F4E79"/>
            <w:vAlign w:val="top"/>
          </w:tcPr>
          <w:p>
            <w:pPr>
              <w:spacing w:after="20" w:line="240" w:lineRule="auto"/>
            </w:pPr>
            <w:r>
              <w:rPr>
                <w:rFonts w:ascii="Arial" w:hAnsi="Arial"/>
                <w:b/>
                <w:color w:val="FFFFFF"/>
                <w:sz w:val="15"/>
              </w:rPr>
              <w:t>Parent Layer</w:t>
            </w:r>
          </w:p>
        </w:tc>
        <w:tc>
          <w:tcPr>
            <w:tcW w:type="dxa" w:w="2328"/>
            <w:shd w:fill="1F4E79"/>
            <w:vAlign w:val="top"/>
          </w:tcPr>
          <w:p>
            <w:pPr>
              <w:spacing w:after="20" w:line="240" w:lineRule="auto"/>
            </w:pPr>
            <w:r>
              <w:rPr>
                <w:rFonts w:ascii="Arial" w:hAnsi="Arial"/>
                <w:b/>
                <w:color w:val="FFFFFF"/>
                <w:sz w:val="15"/>
              </w:rPr>
              <w:t>Signal</w:t>
            </w:r>
          </w:p>
        </w:tc>
        <w:tc>
          <w:tcPr>
            <w:tcW w:type="dxa" w:w="2328"/>
            <w:shd w:fill="1F4E79"/>
            <w:vAlign w:val="top"/>
          </w:tcPr>
          <w:p>
            <w:pPr>
              <w:spacing w:after="20" w:line="240" w:lineRule="auto"/>
            </w:pPr>
            <w:r>
              <w:rPr>
                <w:rFonts w:ascii="Arial" w:hAnsi="Arial"/>
                <w:b/>
                <w:color w:val="FFFFFF"/>
                <w:sz w:val="15"/>
              </w:rPr>
              <w:t>Confidence</w:t>
            </w:r>
          </w:p>
        </w:tc>
        <w:tc>
          <w:tcPr>
            <w:tcW w:type="dxa" w:w="2328"/>
            <w:shd w:fill="1F4E79"/>
            <w:vAlign w:val="top"/>
          </w:tcPr>
          <w:p>
            <w:pPr>
              <w:spacing w:after="20" w:line="240" w:lineRule="auto"/>
            </w:pPr>
            <w:r>
              <w:rPr>
                <w:rFonts w:ascii="Arial" w:hAnsi="Arial"/>
                <w:b/>
                <w:color w:val="FFFFFF"/>
                <w:sz w:val="15"/>
              </w:rPr>
              <w:t>Active Regime</w:t>
            </w:r>
          </w:p>
        </w:tc>
        <w:tc>
          <w:tcPr>
            <w:tcW w:type="dxa" w:w="2328"/>
            <w:shd w:fill="1F4E79"/>
            <w:vAlign w:val="top"/>
          </w:tcPr>
          <w:p>
            <w:pPr>
              <w:spacing w:after="20" w:line="240" w:lineRule="auto"/>
            </w:pPr>
            <w:r>
              <w:rPr>
                <w:rFonts w:ascii="Arial" w:hAnsi="Arial"/>
                <w:b/>
                <w:color w:val="FFFFFF"/>
                <w:sz w:val="15"/>
              </w:rPr>
              <w:t>Scenario Effects</w:t>
            </w:r>
          </w:p>
        </w:tc>
      </w:tr>
      <w:tr>
        <w:tc>
          <w:tcPr>
            <w:tcW w:type="dxa" w:w="2328"/>
            <w:vAlign w:val="top"/>
          </w:tcPr>
          <w:p>
            <w:pPr>
              <w:spacing w:after="20" w:line="240" w:lineRule="auto"/>
            </w:pPr>
            <w:r>
              <w:rPr>
                <w:rFonts w:ascii="Arial" w:hAnsi="Arial"/>
                <w:b w:val="0"/>
                <w:color w:val="595959"/>
                <w:sz w:val="15"/>
              </w:rPr>
              <w:t>AI earnings resilience</w:t>
            </w:r>
          </w:p>
        </w:tc>
        <w:tc>
          <w:tcPr>
            <w:tcW w:type="dxa" w:w="2328"/>
            <w:vAlign w:val="top"/>
          </w:tcPr>
          <w:p>
            <w:pPr>
              <w:spacing w:after="20" w:line="240" w:lineRule="auto"/>
            </w:pPr>
            <w:r>
              <w:rPr>
                <w:rFonts w:ascii="Arial" w:hAnsi="Arial"/>
                <w:b w:val="0"/>
                <w:color w:val="595959"/>
                <w:sz w:val="15"/>
              </w:rPr>
              <w:t>earnings</w:t>
            </w:r>
          </w:p>
        </w:tc>
        <w:tc>
          <w:tcPr>
            <w:tcW w:type="dxa" w:w="2328"/>
            <w:vAlign w:val="top"/>
          </w:tcPr>
          <w:p>
            <w:pPr>
              <w:spacing w:after="20" w:line="240" w:lineRule="auto"/>
            </w:pPr>
            <w:r>
              <w:rPr>
                <w:rFonts w:ascii="Arial" w:hAnsi="Arial"/>
                <w:b w:val="0"/>
                <w:color w:val="375623"/>
                <w:sz w:val="15"/>
              </w:rPr>
              <w:t>bullish</w:t>
            </w:r>
          </w:p>
        </w:tc>
        <w:tc>
          <w:tcPr>
            <w:tcW w:type="dxa" w:w="2328"/>
            <w:vAlign w:val="top"/>
          </w:tcPr>
          <w:p>
            <w:pPr>
              <w:spacing w:after="20" w:line="240" w:lineRule="auto"/>
            </w:pPr>
            <w:r>
              <w:rPr>
                <w:rFonts w:ascii="Arial" w:hAnsi="Arial"/>
                <w:b w:val="0"/>
                <w:color w:val="595959"/>
                <w:sz w:val="15"/>
              </w:rPr>
              <w:t>0.80</w:t>
            </w:r>
          </w:p>
        </w:tc>
        <w:tc>
          <w:tcPr>
            <w:tcW w:type="dxa" w:w="2328"/>
            <w:vAlign w:val="top"/>
          </w:tcPr>
          <w:p>
            <w:pPr>
              <w:spacing w:after="20" w:line="240" w:lineRule="auto"/>
            </w:pPr>
            <w:r>
              <w:rPr>
                <w:rFonts w:ascii="Arial" w:hAnsi="Arial"/>
                <w:b w:val="0"/>
                <w:color w:val="595959"/>
                <w:sz w:val="15"/>
              </w:rPr>
              <w:t>two_sided_oil_shock_late_cycle_ai</w:t>
            </w:r>
          </w:p>
        </w:tc>
        <w:tc>
          <w:tcPr>
            <w:tcW w:type="dxa" w:w="2328"/>
            <w:vAlign w:val="top"/>
          </w:tcPr>
          <w:p>
            <w:pPr>
              <w:spacing w:after="20" w:line="240" w:lineRule="auto"/>
            </w:pPr>
            <w:r>
              <w:rPr>
                <w:rFonts w:ascii="Arial" w:hAnsi="Arial"/>
                <w:b w:val="0"/>
                <w:color w:val="595959"/>
                <w:sz w:val="15"/>
              </w:rPr>
              <w:t>sticky_late_cycle_ai increases 0.65, ai_capex_rollover decreases 0.55</w:t>
            </w:r>
          </w:p>
        </w:tc>
      </w:tr>
      <w:tr>
        <w:tc>
          <w:tcPr>
            <w:tcW w:type="dxa" w:w="2328"/>
            <w:shd w:fill="F7F9FC"/>
            <w:vAlign w:val="top"/>
          </w:tcPr>
          <w:p>
            <w:pPr>
              <w:spacing w:after="20" w:line="240" w:lineRule="auto"/>
            </w:pPr>
            <w:r>
              <w:rPr>
                <w:rFonts w:ascii="Arial" w:hAnsi="Arial"/>
                <w:b w:val="0"/>
                <w:color w:val="595959"/>
                <w:sz w:val="15"/>
              </w:rPr>
              <w:t>Oil shock and reopening optionality</w:t>
            </w:r>
          </w:p>
        </w:tc>
        <w:tc>
          <w:tcPr>
            <w:tcW w:type="dxa" w:w="2328"/>
            <w:shd w:fill="F7F9FC"/>
            <w:vAlign w:val="top"/>
          </w:tcPr>
          <w:p>
            <w:pPr>
              <w:spacing w:after="20" w:line="240" w:lineRule="auto"/>
            </w:pPr>
            <w:r>
              <w:rPr>
                <w:rFonts w:ascii="Arial" w:hAnsi="Arial"/>
                <w:b w:val="0"/>
                <w:color w:val="595959"/>
                <w:sz w:val="15"/>
              </w:rPr>
              <w:t>commodities</w:t>
            </w:r>
          </w:p>
        </w:tc>
        <w:tc>
          <w:tcPr>
            <w:tcW w:type="dxa" w:w="2328"/>
            <w:shd w:fill="F7F9FC"/>
            <w:vAlign w:val="top"/>
          </w:tcPr>
          <w:p>
            <w:pPr>
              <w:spacing w:after="20" w:line="240" w:lineRule="auto"/>
            </w:pPr>
            <w:r>
              <w:rPr>
                <w:rFonts w:ascii="Arial" w:hAnsi="Arial"/>
                <w:b w:val="0"/>
                <w:color w:val="595959"/>
                <w:sz w:val="15"/>
              </w:rPr>
              <w:t>mixed</w:t>
            </w:r>
          </w:p>
        </w:tc>
        <w:tc>
          <w:tcPr>
            <w:tcW w:type="dxa" w:w="2328"/>
            <w:shd w:fill="F7F9FC"/>
            <w:vAlign w:val="top"/>
          </w:tcPr>
          <w:p>
            <w:pPr>
              <w:spacing w:after="20" w:line="240" w:lineRule="auto"/>
            </w:pPr>
            <w:r>
              <w:rPr>
                <w:rFonts w:ascii="Arial" w:hAnsi="Arial"/>
                <w:b w:val="0"/>
                <w:color w:val="595959"/>
                <w:sz w:val="15"/>
              </w:rPr>
              <w:t>0.80</w:t>
            </w:r>
          </w:p>
        </w:tc>
        <w:tc>
          <w:tcPr>
            <w:tcW w:type="dxa" w:w="2328"/>
            <w:shd w:fill="F7F9FC"/>
            <w:vAlign w:val="top"/>
          </w:tcPr>
          <w:p>
            <w:pPr>
              <w:spacing w:after="20" w:line="240" w:lineRule="auto"/>
            </w:pPr>
            <w:r>
              <w:rPr>
                <w:rFonts w:ascii="Arial" w:hAnsi="Arial"/>
                <w:b w:val="0"/>
                <w:color w:val="595959"/>
                <w:sz w:val="15"/>
              </w:rPr>
              <w:t>two_sided_oil_shock_late_cycle_ai</w:t>
            </w:r>
          </w:p>
        </w:tc>
        <w:tc>
          <w:tcPr>
            <w:tcW w:type="dxa" w:w="2328"/>
            <w:shd w:fill="F7F9FC"/>
            <w:vAlign w:val="top"/>
          </w:tcPr>
          <w:p>
            <w:pPr>
              <w:spacing w:after="20" w:line="240" w:lineRule="auto"/>
            </w:pPr>
            <w:r>
              <w:rPr>
                <w:rFonts w:ascii="Arial" w:hAnsi="Arial"/>
                <w:b w:val="0"/>
                <w:color w:val="595959"/>
                <w:sz w:val="15"/>
              </w:rPr>
              <w:t>oil_inflation_tail increases 0.45, reopening_soft_landing increases 0.35</w:t>
            </w:r>
          </w:p>
        </w:tc>
      </w:tr>
    </w:tbl>
    <w:p>
      <w:pPr>
        <w:spacing w:after="120"/>
      </w:pPr>
    </w:p>
    <w:p>
      <w:pPr>
        <w:spacing w:before="180" w:after="80"/>
      </w:pPr>
      <w:r>
        <w:rPr>
          <w:rFonts w:ascii="Arial" w:hAnsi="Arial"/>
          <w:b/>
          <w:color w:val="2E75B6"/>
          <w:sz w:val="21"/>
        </w:rPr>
        <w:t>Scenario Falsifiers</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Falsifier</w:t>
            </w:r>
          </w:p>
        </w:tc>
        <w:tc>
          <w:tcPr>
            <w:tcW w:type="dxa" w:w="2328"/>
            <w:shd w:fill="1F4E79"/>
            <w:vAlign w:val="top"/>
          </w:tcPr>
          <w:p>
            <w:pPr>
              <w:spacing w:after="20" w:line="240" w:lineRule="auto"/>
            </w:pPr>
            <w:r>
              <w:rPr>
                <w:rFonts w:ascii="Arial" w:hAnsi="Arial"/>
                <w:b/>
                <w:color w:val="FFFFFF"/>
                <w:sz w:val="15"/>
              </w:rPr>
              <w:t>Related Scenarios</w:t>
            </w:r>
          </w:p>
        </w:tc>
        <w:tc>
          <w:tcPr>
            <w:tcW w:type="dxa" w:w="2328"/>
            <w:shd w:fill="1F4E79"/>
            <w:vAlign w:val="top"/>
          </w:tcPr>
          <w:p>
            <w:pPr>
              <w:spacing w:after="20" w:line="240" w:lineRule="auto"/>
            </w:pPr>
            <w:r>
              <w:rPr>
                <w:rFonts w:ascii="Arial" w:hAnsi="Arial"/>
                <w:b/>
                <w:color w:val="FFFFFF"/>
                <w:sz w:val="15"/>
              </w:rPr>
              <w:t>Signal</w:t>
            </w:r>
          </w:p>
        </w:tc>
        <w:tc>
          <w:tcPr>
            <w:tcW w:type="dxa" w:w="2328"/>
            <w:shd w:fill="1F4E79"/>
            <w:vAlign w:val="top"/>
          </w:tcPr>
          <w:p>
            <w:pPr>
              <w:spacing w:after="20" w:line="240" w:lineRule="auto"/>
            </w:pPr>
            <w:r>
              <w:rPr>
                <w:rFonts w:ascii="Arial" w:hAnsi="Arial"/>
                <w:b/>
                <w:color w:val="FFFFFF"/>
                <w:sz w:val="15"/>
              </w:rPr>
              <w:t>Confidence</w:t>
            </w:r>
          </w:p>
        </w:tc>
        <w:tc>
          <w:tcPr>
            <w:tcW w:type="dxa" w:w="2328"/>
            <w:shd w:fill="1F4E79"/>
            <w:vAlign w:val="top"/>
          </w:tcPr>
          <w:p>
            <w:pPr>
              <w:spacing w:after="20" w:line="240" w:lineRule="auto"/>
            </w:pPr>
            <w:r>
              <w:rPr>
                <w:rFonts w:ascii="Arial" w:hAnsi="Arial"/>
                <w:b/>
                <w:color w:val="FFFFFF"/>
                <w:sz w:val="15"/>
              </w:rPr>
              <w:t>Current Value</w:t>
            </w:r>
          </w:p>
        </w:tc>
        <w:tc>
          <w:tcPr>
            <w:tcW w:type="dxa" w:w="2328"/>
            <w:shd w:fill="1F4E79"/>
            <w:vAlign w:val="top"/>
          </w:tcPr>
          <w:p>
            <w:pPr>
              <w:spacing w:after="20" w:line="240" w:lineRule="auto"/>
            </w:pPr>
            <w:r>
              <w:rPr>
                <w:rFonts w:ascii="Arial" w:hAnsi="Arial"/>
                <w:b/>
                <w:color w:val="FFFFFF"/>
                <w:sz w:val="15"/>
              </w:rPr>
              <w:t>Scenario Effects</w:t>
            </w:r>
          </w:p>
        </w:tc>
      </w:tr>
      <w:tr>
        <w:tc>
          <w:tcPr>
            <w:tcW w:type="dxa" w:w="2328"/>
            <w:vAlign w:val="top"/>
          </w:tcPr>
          <w:p>
            <w:pPr>
              <w:spacing w:after="20" w:line="240" w:lineRule="auto"/>
            </w:pPr>
            <w:r>
              <w:rPr>
                <w:rFonts w:ascii="Arial" w:hAnsi="Arial"/>
                <w:b w:val="0"/>
                <w:color w:val="595959"/>
                <w:sz w:val="15"/>
              </w:rPr>
              <w:t>Hyperscaler capex rollover falsifier</w:t>
            </w:r>
          </w:p>
        </w:tc>
        <w:tc>
          <w:tcPr>
            <w:tcW w:type="dxa" w:w="2328"/>
            <w:vAlign w:val="top"/>
          </w:tcPr>
          <w:p>
            <w:pPr>
              <w:spacing w:after="20" w:line="240" w:lineRule="auto"/>
            </w:pPr>
            <w:r>
              <w:rPr>
                <w:rFonts w:ascii="Arial" w:hAnsi="Arial"/>
                <w:b w:val="0"/>
                <w:color w:val="595959"/>
                <w:sz w:val="15"/>
              </w:rPr>
              <w:t>ai_capex_rollover, sticky_late_cycle_ai</w:t>
            </w:r>
          </w:p>
        </w:tc>
        <w:tc>
          <w:tcPr>
            <w:tcW w:type="dxa" w:w="2328"/>
            <w:vAlign w:val="top"/>
          </w:tcPr>
          <w:p>
            <w:pPr>
              <w:spacing w:after="20" w:line="240" w:lineRule="auto"/>
            </w:pPr>
            <w:r>
              <w:rPr>
                <w:rFonts w:ascii="Arial" w:hAnsi="Arial"/>
                <w:b w:val="0"/>
                <w:color w:val="375623"/>
                <w:sz w:val="15"/>
              </w:rPr>
              <w:t>bullish</w:t>
            </w:r>
          </w:p>
        </w:tc>
        <w:tc>
          <w:tcPr>
            <w:tcW w:type="dxa" w:w="2328"/>
            <w:vAlign w:val="top"/>
          </w:tcPr>
          <w:p>
            <w:pPr>
              <w:spacing w:after="20" w:line="240" w:lineRule="auto"/>
            </w:pPr>
            <w:r>
              <w:rPr>
                <w:rFonts w:ascii="Arial" w:hAnsi="Arial"/>
                <w:b w:val="0"/>
                <w:color w:val="595959"/>
                <w:sz w:val="15"/>
              </w:rPr>
              <w:t>0.55</w:t>
            </w:r>
          </w:p>
        </w:tc>
        <w:tc>
          <w:tcPr>
            <w:tcW w:type="dxa" w:w="2328"/>
            <w:vAlign w:val="top"/>
          </w:tcPr>
          <w:p>
            <w:pPr>
              <w:spacing w:after="20" w:line="240" w:lineRule="auto"/>
            </w:pPr>
            <w:r>
              <w:rPr>
                <w:rFonts w:ascii="Arial" w:hAnsi="Arial"/>
                <w:b w:val="0"/>
                <w:color w:val="595959"/>
                <w:sz w:val="15"/>
              </w:rPr>
              <w:t>not_triggered</w:t>
            </w:r>
          </w:p>
        </w:tc>
        <w:tc>
          <w:tcPr>
            <w:tcW w:type="dxa" w:w="2328"/>
            <w:vAlign w:val="top"/>
          </w:tcPr>
          <w:p>
            <w:pPr>
              <w:spacing w:after="20" w:line="240" w:lineRule="auto"/>
            </w:pPr>
            <w:r>
              <w:rPr>
                <w:rFonts w:ascii="Arial" w:hAnsi="Arial"/>
                <w:b w:val="0"/>
                <w:color w:val="595959"/>
                <w:sz w:val="15"/>
              </w:rPr>
              <w:t>ai_capex_rollover decreases 0.25, sticky_late_cycle_ai increases 0.20</w:t>
            </w:r>
          </w:p>
        </w:tc>
      </w:tr>
    </w:tbl>
    <w:p>
      <w:pPr>
        <w:spacing w:after="120"/>
      </w:pPr>
    </w:p>
    <w:p>
      <w:pPr>
        <w:spacing w:before="180" w:after="80"/>
      </w:pPr>
      <w:r>
        <w:rPr>
          <w:rFonts w:ascii="Arial" w:hAnsi="Arial"/>
          <w:b/>
          <w:color w:val="2E75B6"/>
          <w:sz w:val="21"/>
        </w:rPr>
        <w:t>Dedupe / Weighting Notes</w:t>
      </w:r>
    </w:p>
    <w:p>
      <w:pPr>
        <w:spacing w:after="40"/>
      </w:pPr>
      <w:r>
        <w:rPr>
          <w:rFonts w:ascii="Arial" w:hAnsi="Arial"/>
          <w:b w:val="0"/>
          <w:color w:val="595959"/>
          <w:sz w:val="17"/>
        </w:rPr>
        <w:t>Layer summaries are generated from Helix regime layer scores.</w:t>
      </w:r>
    </w:p>
    <w:p>
      <w:pPr>
        <w:spacing w:after="40"/>
      </w:pPr>
      <w:r>
        <w:rPr>
          <w:rFonts w:ascii="Arial" w:hAnsi="Arial"/>
          <w:b w:val="0"/>
          <w:color w:val="595959"/>
          <w:sz w:val="17"/>
        </w:rPr>
        <w:t>Raw components are generated from underlying RegimeInputs fields when available.</w:t>
      </w:r>
    </w:p>
    <w:p>
      <w:pPr>
        <w:spacing w:after="40"/>
      </w:pPr>
      <w:r>
        <w:rPr>
          <w:rFonts w:ascii="Arial" w:hAnsi="Arial"/>
          <w:b w:val="0"/>
          <w:color w:val="595959"/>
          <w:sz w:val="17"/>
        </w:rPr>
        <w:t>Market/tape signals are generated from MarketState when provided.</w:t>
      </w:r>
    </w:p>
    <w:p>
      <w:pPr>
        <w:spacing w:after="40"/>
      </w:pPr>
      <w:r>
        <w:rPr>
          <w:rFonts w:ascii="Arial" w:hAnsi="Arial"/>
          <w:b w:val="0"/>
          <w:color w:val="595959"/>
          <w:sz w:val="17"/>
        </w:rPr>
        <w:t>Regime drivers and scenario falsifiers are generated from active regime context.</w:t>
      </w:r>
    </w:p>
    <w:p>
      <w:pPr>
        <w:spacing w:after="40"/>
      </w:pPr>
      <w:r>
        <w:rPr>
          <w:rFonts w:ascii="Arial" w:hAnsi="Arial"/>
          <w:b w:val="0"/>
          <w:color w:val="595959"/>
          <w:sz w:val="17"/>
        </w:rPr>
        <w:t>Input dedupe mode: hybrid.</w:t>
      </w:r>
    </w:p>
    <w:p>
      <w:pPr>
        <w:spacing w:after="40"/>
      </w:pPr>
      <w:r>
        <w:rPr>
          <w:rFonts w:ascii="Arial" w:hAnsi="Arial"/>
          <w:b w:val="0"/>
          <w:color w:val="595959"/>
          <w:sz w:val="17"/>
        </w:rPr>
        <w:t>In hybrid mode, layer summaries provide base scenario impacts and raw components act as modifiers within the same parent layer.</w:t>
      </w:r>
    </w:p>
    <w:p>
      <w:pPr>
        <w:spacing w:after="40"/>
      </w:pPr>
      <w:r>
        <w:rPr>
          <w:rFonts w:ascii="Arial" w:hAnsi="Arial"/>
          <w:b w:val="0"/>
          <w:color w:val="595959"/>
          <w:sz w:val="17"/>
        </w:rPr>
        <w:t>Dedupe caps prevent one layer from dominating through many correlated inputs.</w:t>
      </w:r>
    </w:p>
    <w:p>
      <w:pPr>
        <w:spacing w:after="40"/>
      </w:pPr>
      <w:r>
        <w:rPr>
          <w:rFonts w:ascii="Arial" w:hAnsi="Arial"/>
          <w:b w:val="0"/>
          <w:color w:val="595959"/>
          <w:sz w:val="17"/>
        </w:rPr>
        <w:t>Market/tape inputs are horizon-weighted for horizon 3m.</w:t>
      </w:r>
    </w:p>
    <w:p>
      <w:pPr>
        <w:spacing w:before="320" w:after="140"/>
      </w:pPr>
      <w:r>
        <w:rPr>
          <w:rFonts w:ascii="Arial" w:hAnsi="Arial"/>
          <w:b/>
          <w:color w:val="1F4E79"/>
          <w:sz w:val="28"/>
        </w:rPr>
        <w:t>Monetary Composite Detail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Composite signal</w:t>
            </w:r>
          </w:p>
        </w:tc>
        <w:tc>
          <w:tcPr>
            <w:tcW w:type="dxa" w:w="11520"/>
            <w:vAlign w:val="top"/>
          </w:tcPr>
          <w:p>
            <w:pPr>
              <w:spacing w:after="20" w:line="240" w:lineRule="auto"/>
            </w:pPr>
            <w:r>
              <w:rPr>
                <w:rFonts w:ascii="Arial" w:hAnsi="Arial"/>
                <w:b w:val="0"/>
                <w:color w:val="595959"/>
                <w:sz w:val="15"/>
              </w:rPr>
              <w:t>mixed</w:t>
            </w:r>
          </w:p>
        </w:tc>
      </w:tr>
      <w:tr>
        <w:tc>
          <w:tcPr>
            <w:tcW w:type="dxa" w:w="2160"/>
            <w:shd w:fill="EAF2F8"/>
            <w:vAlign w:val="top"/>
          </w:tcPr>
          <w:p>
            <w:pPr>
              <w:spacing w:after="20" w:line="240" w:lineRule="auto"/>
            </w:pPr>
            <w:r>
              <w:rPr>
                <w:rFonts w:ascii="Arial" w:hAnsi="Arial"/>
                <w:b/>
                <w:color w:val="1F4E79"/>
                <w:sz w:val="15"/>
              </w:rPr>
              <w:t>Composite confidence</w:t>
            </w:r>
          </w:p>
        </w:tc>
        <w:tc>
          <w:tcPr>
            <w:tcW w:type="dxa" w:w="11520"/>
            <w:vAlign w:val="top"/>
          </w:tcPr>
          <w:p>
            <w:pPr>
              <w:spacing w:after="20" w:line="240" w:lineRule="auto"/>
            </w:pPr>
            <w:r>
              <w:rPr>
                <w:rFonts w:ascii="Arial" w:hAnsi="Arial"/>
                <w:b w:val="0"/>
                <w:color w:val="595959"/>
                <w:sz w:val="15"/>
              </w:rPr>
              <w:t>0.64</w:t>
            </w:r>
          </w:p>
        </w:tc>
      </w:tr>
      <w:tr>
        <w:tc>
          <w:tcPr>
            <w:tcW w:type="dxa" w:w="2160"/>
            <w:shd w:fill="EAF2F8"/>
            <w:vAlign w:val="top"/>
          </w:tcPr>
          <w:p>
            <w:pPr>
              <w:spacing w:after="20" w:line="240" w:lineRule="auto"/>
            </w:pPr>
            <w:r>
              <w:rPr>
                <w:rFonts w:ascii="Arial" w:hAnsi="Arial"/>
                <w:b/>
                <w:color w:val="1F4E79"/>
                <w:sz w:val="15"/>
              </w:rPr>
              <w:t>Used in probability update</w:t>
            </w:r>
          </w:p>
        </w:tc>
        <w:tc>
          <w:tcPr>
            <w:tcW w:type="dxa" w:w="11520"/>
            <w:vAlign w:val="top"/>
          </w:tcPr>
          <w:p>
            <w:pPr>
              <w:spacing w:after="20" w:line="240" w:lineRule="auto"/>
            </w:pPr>
            <w:r>
              <w:rPr>
                <w:rFonts w:ascii="Arial" w:hAnsi="Arial"/>
                <w:b w:val="0"/>
                <w:color w:val="375623"/>
                <w:sz w:val="15"/>
              </w:rPr>
              <w:t>yes</w:t>
            </w:r>
          </w:p>
        </w:tc>
      </w:tr>
      <w:tr>
        <w:tc>
          <w:tcPr>
            <w:tcW w:type="dxa" w:w="2160"/>
            <w:shd w:fill="EAF2F8"/>
            <w:vAlign w:val="top"/>
          </w:tcPr>
          <w:p>
            <w:pPr>
              <w:spacing w:after="20" w:line="240" w:lineRule="auto"/>
            </w:pPr>
            <w:r>
              <w:rPr>
                <w:rFonts w:ascii="Arial" w:hAnsi="Arial"/>
                <w:b/>
                <w:color w:val="1F4E79"/>
                <w:sz w:val="15"/>
              </w:rPr>
              <w:t>Display only</w:t>
            </w:r>
          </w:p>
        </w:tc>
        <w:tc>
          <w:tcPr>
            <w:tcW w:type="dxa" w:w="11520"/>
            <w:vAlign w:val="top"/>
          </w:tcPr>
          <w:p>
            <w:pPr>
              <w:spacing w:after="20" w:line="240" w:lineRule="auto"/>
            </w:pPr>
            <w:r>
              <w:rPr>
                <w:rFonts w:ascii="Arial" w:hAnsi="Arial"/>
                <w:b w:val="0"/>
                <w:color w:val="C00000"/>
                <w:sz w:val="15"/>
              </w:rPr>
              <w:t>no</w:t>
            </w:r>
          </w:p>
        </w:tc>
      </w:tr>
      <w:tr>
        <w:tc>
          <w:tcPr>
            <w:tcW w:type="dxa" w:w="2160"/>
            <w:shd w:fill="EAF2F8"/>
            <w:vAlign w:val="top"/>
          </w:tcPr>
          <w:p>
            <w:pPr>
              <w:spacing w:after="20" w:line="240" w:lineRule="auto"/>
            </w:pPr>
            <w:r>
              <w:rPr>
                <w:rFonts w:ascii="Arial" w:hAnsi="Arial"/>
                <w:b/>
                <w:color w:val="1F4E79"/>
                <w:sz w:val="15"/>
              </w:rPr>
              <w:t>Current value</w:t>
            </w:r>
          </w:p>
        </w:tc>
        <w:tc>
          <w:tcPr>
            <w:tcW w:type="dxa" w:w="11520"/>
            <w:vAlign w:val="top"/>
          </w:tcPr>
          <w:p>
            <w:pPr>
              <w:spacing w:after="20" w:line="240" w:lineRule="auto"/>
            </w:pPr>
            <w:r>
              <w:rPr>
                <w:rFonts w:ascii="Arial" w:hAnsi="Arial"/>
                <w:b w:val="0"/>
                <w:color w:val="595959"/>
                <w:sz w:val="15"/>
              </w:rPr>
              <w:t>monetary_score=5.59; hold_hike=0.80; cut=0.20</w:t>
            </w:r>
          </w:p>
        </w:tc>
      </w:tr>
      <w:tr>
        <w:tc>
          <w:tcPr>
            <w:tcW w:type="dxa" w:w="2160"/>
            <w:shd w:fill="EAF2F8"/>
            <w:vAlign w:val="top"/>
          </w:tcPr>
          <w:p>
            <w:pPr>
              <w:spacing w:after="20" w:line="240" w:lineRule="auto"/>
            </w:pPr>
            <w:r>
              <w:rPr>
                <w:rFonts w:ascii="Arial" w:hAnsi="Arial"/>
                <w:b/>
                <w:color w:val="1F4E79"/>
                <w:sz w:val="15"/>
              </w:rPr>
              <w:t>Composite method</w:t>
            </w:r>
          </w:p>
        </w:tc>
        <w:tc>
          <w:tcPr>
            <w:tcW w:type="dxa" w:w="11520"/>
            <w:vAlign w:val="top"/>
          </w:tcPr>
          <w:p>
            <w:pPr>
              <w:spacing w:after="20" w:line="240" w:lineRule="auto"/>
            </w:pPr>
            <w:r>
              <w:rPr>
                <w:rFonts w:ascii="Arial" w:hAnsi="Arial"/>
                <w:b w:val="0"/>
                <w:color w:val="595959"/>
                <w:sz w:val="15"/>
              </w:rPr>
              <w:t>Reconciles the monetary layer with near-term Fed hold/hike pricing; component monetary signals are displayed but excluded from scenario math.</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Composite reconciles layer score 5.59, layer signal mixed with Fed hold/hike probability 80%, cut probability 20%, Fed signal bearish. Component signals are displayed but excluded from probability updates. High hold/hike odds keep policy from being treated as outright bullish.</w:t>
            </w:r>
          </w:p>
        </w:tc>
      </w:tr>
    </w:tbl>
    <w:p>
      <w:pPr>
        <w:spacing w:after="120"/>
      </w:pPr>
    </w:p>
    <w:p>
      <w:pPr>
        <w:spacing w:after="40"/>
      </w:pPr>
      <w:r>
        <w:rPr>
          <w:rFonts w:ascii="Arial" w:hAnsi="Arial"/>
          <w:b w:val="0"/>
          <w:color w:val="595959"/>
          <w:sz w:val="17"/>
        </w:rPr>
        <w:t>Component signals are included for display and excluded from probability math to avoid double-counting.</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Component</w:t>
            </w:r>
          </w:p>
        </w:tc>
        <w:tc>
          <w:tcPr>
            <w:tcW w:type="dxa" w:w="1995"/>
            <w:shd w:fill="1F4E79"/>
            <w:vAlign w:val="top"/>
          </w:tcPr>
          <w:p>
            <w:pPr>
              <w:spacing w:after="20" w:line="240" w:lineRule="auto"/>
            </w:pPr>
            <w:r>
              <w:rPr>
                <w:rFonts w:ascii="Arial" w:hAnsi="Arial"/>
                <w:b/>
                <w:color w:val="FFFFFF"/>
                <w:sz w:val="15"/>
              </w:rPr>
              <w:t>Signal</w:t>
            </w:r>
          </w:p>
        </w:tc>
        <w:tc>
          <w:tcPr>
            <w:tcW w:type="dxa" w:w="1995"/>
            <w:shd w:fill="1F4E79"/>
            <w:vAlign w:val="top"/>
          </w:tcPr>
          <w:p>
            <w:pPr>
              <w:spacing w:after="20" w:line="240" w:lineRule="auto"/>
            </w:pPr>
            <w:r>
              <w:rPr>
                <w:rFonts w:ascii="Arial" w:hAnsi="Arial"/>
                <w:b/>
                <w:color w:val="FFFFFF"/>
                <w:sz w:val="15"/>
              </w:rPr>
              <w:t>Trend</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Display Only?</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Exclusion Reason</w:t>
            </w:r>
          </w:p>
        </w:tc>
      </w:tr>
      <w:tr>
        <w:tc>
          <w:tcPr>
            <w:tcW w:type="dxa" w:w="1995"/>
            <w:vAlign w:val="top"/>
          </w:tcPr>
          <w:p>
            <w:pPr>
              <w:spacing w:after="20" w:line="240" w:lineRule="auto"/>
            </w:pPr>
            <w:r>
              <w:rPr>
                <w:rFonts w:ascii="Arial" w:hAnsi="Arial"/>
                <w:b w:val="0"/>
                <w:color w:val="595959"/>
                <w:sz w:val="15"/>
              </w:rPr>
              <w:t>Monetary layer</w:t>
            </w:r>
          </w:p>
        </w:tc>
        <w:tc>
          <w:tcPr>
            <w:tcW w:type="dxa" w:w="1995"/>
            <w:vAlign w:val="top"/>
          </w:tcPr>
          <w:p>
            <w:pPr>
              <w:spacing w:after="20" w:line="240" w:lineRule="auto"/>
            </w:pPr>
            <w:r>
              <w:rPr>
                <w:rFonts w:ascii="Arial" w:hAnsi="Arial"/>
                <w:b w:val="0"/>
                <w:color w:val="595959"/>
                <w:sz w:val="15"/>
              </w:rPr>
              <w:t>mixed</w:t>
            </w:r>
          </w:p>
        </w:tc>
        <w:tc>
          <w:tcPr>
            <w:tcW w:type="dxa" w:w="1995"/>
            <w:vAlign w:val="top"/>
          </w:tcPr>
          <w:p>
            <w:pPr>
              <w:spacing w:after="20" w:line="240" w:lineRule="auto"/>
            </w:pPr>
            <w:r>
              <w:rPr>
                <w:rFonts w:ascii="Arial" w:hAnsi="Arial"/>
                <w:b w:val="0"/>
                <w:color w:val="375623"/>
                <w:sz w:val="15"/>
              </w:rPr>
              <w:t>improving</w:t>
            </w:r>
          </w:p>
        </w:tc>
        <w:tc>
          <w:tcPr>
            <w:tcW w:type="dxa" w:w="1995"/>
            <w:vAlign w:val="top"/>
          </w:tcPr>
          <w:p>
            <w:pPr>
              <w:spacing w:after="20" w:line="240" w:lineRule="auto"/>
            </w:pPr>
            <w:r>
              <w:rPr>
                <w:rFonts w:ascii="Arial" w:hAnsi="Arial"/>
                <w:b w:val="0"/>
                <w:color w:val="595959"/>
                <w:sz w:val="15"/>
              </w:rPr>
              <w:t>0.75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C00000"/>
                <w:sz w:val="15"/>
              </w:rPr>
              <w:t>no</w:t>
            </w:r>
          </w:p>
        </w:tc>
        <w:tc>
          <w:tcPr>
            <w:tcW w:type="dxa" w:w="1995"/>
            <w:vAlign w:val="top"/>
          </w:tcPr>
          <w:p>
            <w:pPr>
              <w:spacing w:after="20" w:line="240" w:lineRule="auto"/>
            </w:pPr>
            <w:r>
              <w:rPr>
                <w:rFonts w:ascii="Arial" w:hAnsi="Arial"/>
                <w:b w:val="0"/>
                <w:color w:val="595959"/>
                <w:sz w:val="15"/>
              </w:rPr>
              <w:t>Excluded from probability update to avoid double-counting; included in monetary_policy_composite.</w:t>
            </w:r>
          </w:p>
        </w:tc>
      </w:tr>
      <w:tr>
        <w:tc>
          <w:tcPr>
            <w:tcW w:type="dxa" w:w="1995"/>
            <w:shd w:fill="F7F9FC"/>
            <w:vAlign w:val="top"/>
          </w:tcPr>
          <w:p>
            <w:pPr>
              <w:spacing w:after="20" w:line="240" w:lineRule="auto"/>
            </w:pPr>
            <w:r>
              <w:rPr>
                <w:rFonts w:ascii="Arial" w:hAnsi="Arial"/>
                <w:b w:val="0"/>
                <w:color w:val="595959"/>
                <w:sz w:val="15"/>
              </w:rPr>
              <w:t>Fed path 2026-06-17</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stable</w:t>
            </w:r>
          </w:p>
        </w:tc>
        <w:tc>
          <w:tcPr>
            <w:tcW w:type="dxa" w:w="1995"/>
            <w:shd w:fill="F7F9FC"/>
            <w:vAlign w:val="top"/>
          </w:tcPr>
          <w:p>
            <w:pPr>
              <w:spacing w:after="20" w:line="240" w:lineRule="auto"/>
            </w:pPr>
            <w:r>
              <w:rPr>
                <w:rFonts w:ascii="Arial" w:hAnsi="Arial"/>
                <w:b w:val="0"/>
                <w:color w:val="595959"/>
                <w:sz w:val="15"/>
              </w:rPr>
              <w:t>0.75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C00000"/>
                <w:sz w:val="15"/>
              </w:rPr>
              <w:t>no</w:t>
            </w:r>
          </w:p>
        </w:tc>
        <w:tc>
          <w:tcPr>
            <w:tcW w:type="dxa" w:w="1995"/>
            <w:shd w:fill="F7F9FC"/>
            <w:vAlign w:val="top"/>
          </w:tcPr>
          <w:p>
            <w:pPr>
              <w:spacing w:after="20" w:line="240" w:lineRule="auto"/>
            </w:pPr>
            <w:r>
              <w:rPr>
                <w:rFonts w:ascii="Arial" w:hAnsi="Arial"/>
                <w:b w:val="0"/>
                <w:color w:val="595959"/>
                <w:sz w:val="15"/>
              </w:rPr>
              <w:t>Excluded from probability update to avoid double-counting; included in monetary_policy_composite.</w:t>
            </w:r>
          </w:p>
        </w:tc>
      </w:tr>
    </w:tbl>
    <w:p>
      <w:pPr>
        <w:spacing w:after="120"/>
      </w:pPr>
    </w:p>
    <w:p>
      <w:pPr>
        <w:spacing w:after="40"/>
      </w:pPr>
      <w:r>
        <w:rPr>
          <w:rFonts w:ascii="Arial" w:hAnsi="Arial"/>
          <w:b w:val="0"/>
          <w:color w:val="595959"/>
          <w:sz w:val="17"/>
        </w:rPr>
        <w:t>Assigned scenario impacts: sticky_late_cycle_ai: increases 0.25, oil_inflation_tail: increases 0.20, reopening_soft_landing: decreases 0.25</w:t>
      </w:r>
    </w:p>
    <w:p>
      <w:pPr>
        <w:spacing w:before="320" w:after="140"/>
      </w:pPr>
      <w:r>
        <w:rPr>
          <w:rFonts w:ascii="Arial" w:hAnsi="Arial"/>
          <w:b/>
          <w:color w:val="1F4E79"/>
          <w:sz w:val="28"/>
        </w:rPr>
        <w:t>Theme Rankings - Macro Support Score</w:t>
      </w:r>
    </w:p>
    <w:p>
      <w:pPr>
        <w:spacing w:after="40"/>
      </w:pPr>
      <w:r>
        <w:rPr>
          <w:rFonts w:ascii="Arial" w:hAnsi="Arial"/>
          <w:b w:val="0"/>
          <w:color w:val="595959"/>
          <w:sz w:val="17"/>
        </w:rPr>
        <w:t>Theme rankings in the macro forecast are based only on macro/scenario support. The score is the probability-weighted scenario exposure of each theme. Crowding, valuation, narrative maturity, consensus gap, and ticker-level dispersion are intentionally excluded here and evaluated by downstream agents.</w:t>
      </w:r>
    </w:p>
    <w:p>
      <w:pPr>
        <w:spacing w:after="40"/>
      </w:pPr>
      <w:r>
        <w:rPr>
          <w:rFonts w:ascii="Arial" w:hAnsi="Arial"/>
          <w:b w:val="0"/>
          <w:color w:val="595959"/>
          <w:sz w:val="17"/>
        </w:rPr>
        <w:t>Deprecated overlay fields may exist in historical records but are not used in current macro ranking.</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2232"/>
            <w:shd w:fill="1F4E79"/>
            <w:vAlign w:val="top"/>
          </w:tcPr>
          <w:p>
            <w:pPr>
              <w:spacing w:after="20" w:line="240" w:lineRule="auto"/>
            </w:pPr>
            <w:r>
              <w:rPr>
                <w:rFonts w:ascii="Arial" w:hAnsi="Arial"/>
                <w:b/>
                <w:color w:val="FFFFFF"/>
                <w:sz w:val="15"/>
              </w:rPr>
              <w:t>Theme</w:t>
            </w:r>
          </w:p>
        </w:tc>
        <w:tc>
          <w:tcPr>
            <w:tcW w:type="dxa" w:w="1224"/>
            <w:shd w:fill="1F4E79"/>
            <w:vAlign w:val="top"/>
          </w:tcPr>
          <w:p>
            <w:pPr>
              <w:spacing w:after="20" w:line="240" w:lineRule="auto"/>
            </w:pPr>
            <w:r>
              <w:rPr>
                <w:rFonts w:ascii="Arial" w:hAnsi="Arial"/>
                <w:b/>
                <w:color w:val="FFFFFF"/>
                <w:sz w:val="15"/>
              </w:rPr>
              <w:t>Macro Support Score</w:t>
            </w:r>
          </w:p>
        </w:tc>
        <w:tc>
          <w:tcPr>
            <w:tcW w:type="dxa" w:w="1944"/>
            <w:shd w:fill="1F4E79"/>
            <w:vAlign w:val="top"/>
          </w:tcPr>
          <w:p>
            <w:pPr>
              <w:spacing w:after="20" w:line="240" w:lineRule="auto"/>
            </w:pPr>
            <w:r>
              <w:rPr>
                <w:rFonts w:ascii="Arial" w:hAnsi="Arial"/>
                <w:b/>
                <w:color w:val="FFFFFF"/>
                <w:sz w:val="15"/>
              </w:rPr>
              <w:t>Best Scenarios</w:t>
            </w:r>
          </w:p>
        </w:tc>
        <w:tc>
          <w:tcPr>
            <w:tcW w:type="dxa" w:w="1944"/>
            <w:shd w:fill="1F4E79"/>
            <w:vAlign w:val="top"/>
          </w:tcPr>
          <w:p>
            <w:pPr>
              <w:spacing w:after="20" w:line="240" w:lineRule="auto"/>
            </w:pPr>
            <w:r>
              <w:rPr>
                <w:rFonts w:ascii="Arial" w:hAnsi="Arial"/>
                <w:b/>
                <w:color w:val="FFFFFF"/>
                <w:sz w:val="15"/>
              </w:rPr>
              <w:t>Worst Scenarios</w:t>
            </w:r>
          </w:p>
        </w:tc>
        <w:tc>
          <w:tcPr>
            <w:tcW w:type="dxa" w:w="3816"/>
            <w:shd w:fill="1F4E79"/>
            <w:vAlign w:val="top"/>
          </w:tcPr>
          <w:p>
            <w:pPr>
              <w:spacing w:after="20" w:line="240" w:lineRule="auto"/>
            </w:pPr>
            <w:r>
              <w:rPr>
                <w:rFonts w:ascii="Arial" w:hAnsi="Arial"/>
                <w:b/>
                <w:color w:val="FFFFFF"/>
                <w:sz w:val="15"/>
              </w:rPr>
              <w:t>Scenario Contribution Breakdown</w:t>
            </w:r>
          </w:p>
        </w:tc>
        <w:tc>
          <w:tcPr>
            <w:tcW w:type="dxa" w:w="3240"/>
            <w:shd w:fill="1F4E79"/>
            <w:vAlign w:val="top"/>
          </w:tcPr>
          <w:p>
            <w:pPr>
              <w:spacing w:after="20" w:line="240" w:lineRule="auto"/>
            </w:pPr>
            <w:r>
              <w:rPr>
                <w:rFonts w:ascii="Arial" w:hAnsi="Arial"/>
                <w:b/>
                <w:color w:val="FFFFFF"/>
                <w:sz w:val="15"/>
              </w:rPr>
              <w:t>Interpretation</w:t>
            </w:r>
          </w:p>
        </w:tc>
      </w:tr>
      <w:tr>
        <w:tc>
          <w:tcPr>
            <w:tcW w:type="dxa" w:w="504"/>
            <w:vAlign w:val="top"/>
          </w:tcPr>
          <w:p>
            <w:pPr>
              <w:spacing w:after="20" w:line="240" w:lineRule="auto"/>
            </w:pPr>
            <w:r>
              <w:rPr>
                <w:rFonts w:ascii="Arial" w:hAnsi="Arial"/>
                <w:b w:val="0"/>
                <w:color w:val="595959"/>
                <w:sz w:val="15"/>
              </w:rPr>
              <w:t>1</w:t>
            </w:r>
          </w:p>
        </w:tc>
        <w:tc>
          <w:tcPr>
            <w:tcW w:type="dxa" w:w="2232"/>
            <w:vAlign w:val="top"/>
          </w:tcPr>
          <w:p>
            <w:pPr>
              <w:spacing w:after="20" w:line="240" w:lineRule="auto"/>
            </w:pPr>
            <w:r>
              <w:rPr>
                <w:rFonts w:ascii="Arial" w:hAnsi="Arial"/>
                <w:b w:val="0"/>
                <w:color w:val="595959"/>
                <w:sz w:val="15"/>
              </w:rPr>
              <w:t>Grid and power infrastructure</w:t>
            </w:r>
          </w:p>
        </w:tc>
        <w:tc>
          <w:tcPr>
            <w:tcW w:type="dxa" w:w="1224"/>
            <w:vAlign w:val="top"/>
          </w:tcPr>
          <w:p>
            <w:pPr>
              <w:spacing w:after="20" w:line="240" w:lineRule="auto"/>
            </w:pPr>
            <w:r>
              <w:rPr>
                <w:rFonts w:ascii="Arial" w:hAnsi="Arial"/>
                <w:b w:val="0"/>
                <w:color w:val="375623"/>
                <w:sz w:val="15"/>
              </w:rPr>
              <w:t>+1.58</w:t>
            </w:r>
          </w:p>
        </w:tc>
        <w:tc>
          <w:tcPr>
            <w:tcW w:type="dxa" w:w="1944"/>
            <w:vAlign w:val="top"/>
          </w:tcPr>
          <w:p>
            <w:pPr>
              <w:spacing w:after="20" w:line="240" w:lineRule="auto"/>
            </w:pPr>
            <w:r>
              <w:rPr>
                <w:rFonts w:ascii="Arial" w:hAnsi="Arial"/>
                <w:b w:val="0"/>
                <w:color w:val="595959"/>
                <w:sz w:val="15"/>
              </w:rPr>
              <w:t>sticky_late_cycle_ai, reopening_soft_landing, oil_inflation_tail</w:t>
            </w:r>
          </w:p>
        </w:tc>
        <w:tc>
          <w:tcPr>
            <w:tcW w:type="dxa" w:w="1944"/>
            <w:vAlign w:val="top"/>
          </w:tcPr>
          <w:p>
            <w:pPr>
              <w:spacing w:after="20" w:line="240" w:lineRule="auto"/>
            </w:pPr>
            <w:r>
              <w:rPr>
                <w:rFonts w:ascii="Arial" w:hAnsi="Arial"/>
                <w:b w:val="0"/>
                <w:color w:val="595959"/>
                <w:sz w:val="15"/>
              </w:rPr>
              <w:t>ai_capex_rollover, late_cycle_risk_off</w:t>
            </w:r>
          </w:p>
        </w:tc>
        <w:tc>
          <w:tcPr>
            <w:tcW w:type="dxa" w:w="3816"/>
            <w:vAlign w:val="top"/>
          </w:tcPr>
          <w:p>
            <w:pPr>
              <w:spacing w:after="20" w:line="240" w:lineRule="auto"/>
            </w:pPr>
            <w:r>
              <w:rPr>
                <w:rFonts w:ascii="Arial" w:hAnsi="Arial"/>
                <w:b w:val="0"/>
                <w:color w:val="595959"/>
                <w:sz w:val="15"/>
              </w:rPr>
              <w:t>Sticky Late Cycle AI +1.02; Reopening / Soft Landing +0.72; AI Capex Rollover -0.14; Late Cycle Risk-Off -0.12; Oil Inflation Tail +0.10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2</w:t>
            </w:r>
          </w:p>
        </w:tc>
        <w:tc>
          <w:tcPr>
            <w:tcW w:type="dxa" w:w="2232"/>
            <w:shd w:fill="F7F9FC"/>
            <w:vAlign w:val="top"/>
          </w:tcPr>
          <w:p>
            <w:pPr>
              <w:spacing w:after="20" w:line="240" w:lineRule="auto"/>
            </w:pPr>
            <w:r>
              <w:rPr>
                <w:rFonts w:ascii="Arial" w:hAnsi="Arial"/>
                <w:b w:val="0"/>
                <w:color w:val="595959"/>
                <w:sz w:val="15"/>
              </w:rPr>
              <w:t>Quality ex-AI cash flow</w:t>
            </w:r>
          </w:p>
        </w:tc>
        <w:tc>
          <w:tcPr>
            <w:tcW w:type="dxa" w:w="1224"/>
            <w:shd w:fill="F7F9FC"/>
            <w:vAlign w:val="top"/>
          </w:tcPr>
          <w:p>
            <w:pPr>
              <w:spacing w:after="20" w:line="240" w:lineRule="auto"/>
            </w:pPr>
            <w:r>
              <w:rPr>
                <w:rFonts w:ascii="Arial" w:hAnsi="Arial"/>
                <w:b w:val="0"/>
                <w:color w:val="375623"/>
                <w:sz w:val="15"/>
              </w:rPr>
              <w:t>+1.54</w:t>
            </w:r>
          </w:p>
        </w:tc>
        <w:tc>
          <w:tcPr>
            <w:tcW w:type="dxa" w:w="1944"/>
            <w:shd w:fill="F7F9FC"/>
            <w:vAlign w:val="top"/>
          </w:tcPr>
          <w:p>
            <w:pPr>
              <w:spacing w:after="20" w:line="240" w:lineRule="auto"/>
            </w:pPr>
            <w:r>
              <w:rPr>
                <w:rFonts w:ascii="Arial" w:hAnsi="Arial"/>
                <w:b w:val="0"/>
                <w:color w:val="595959"/>
                <w:sz w:val="15"/>
              </w:rPr>
              <w:t>sticky_late_cycle_ai, reopening_soft_landing, late_cycle_risk_off</w:t>
            </w:r>
          </w:p>
        </w:tc>
        <w:tc>
          <w:tcPr>
            <w:tcW w:type="dxa" w:w="1944"/>
            <w:shd w:fill="F7F9FC"/>
            <w:vAlign w:val="top"/>
          </w:tcPr>
          <w:p>
            <w:pPr>
              <w:spacing w:after="20" w:line="240" w:lineRule="auto"/>
            </w:pPr>
            <w:r>
              <w:rPr>
                <w:rFonts w:ascii="Arial" w:hAnsi="Arial"/>
                <w:b w:val="0"/>
                <w:color w:val="595959"/>
                <w:sz w:val="15"/>
              </w:rPr>
              <w:t>-</w:t>
            </w:r>
          </w:p>
        </w:tc>
        <w:tc>
          <w:tcPr>
            <w:tcW w:type="dxa" w:w="3816"/>
            <w:shd w:fill="F7F9FC"/>
            <w:vAlign w:val="top"/>
          </w:tcPr>
          <w:p>
            <w:pPr>
              <w:spacing w:after="20" w:line="240" w:lineRule="auto"/>
            </w:pPr>
            <w:r>
              <w:rPr>
                <w:rFonts w:ascii="Arial" w:hAnsi="Arial"/>
                <w:b w:val="0"/>
                <w:color w:val="595959"/>
                <w:sz w:val="15"/>
              </w:rPr>
              <w:t>Sticky Late Cycle AI +0.68; Reopening / Soft Landing +0.36; Late Cycle Risk-Off +0.25; AI Capex Rollover +0.14; Oil Inflation Tail +0.10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3</w:t>
            </w:r>
          </w:p>
        </w:tc>
        <w:tc>
          <w:tcPr>
            <w:tcW w:type="dxa" w:w="2232"/>
            <w:vAlign w:val="top"/>
          </w:tcPr>
          <w:p>
            <w:pPr>
              <w:spacing w:after="20" w:line="240" w:lineRule="auto"/>
            </w:pPr>
            <w:r>
              <w:rPr>
                <w:rFonts w:ascii="Arial" w:hAnsi="Arial"/>
                <w:b w:val="0"/>
                <w:color w:val="595959"/>
                <w:sz w:val="15"/>
              </w:rPr>
              <w:t>Quality AI leaders</w:t>
            </w:r>
          </w:p>
        </w:tc>
        <w:tc>
          <w:tcPr>
            <w:tcW w:type="dxa" w:w="1224"/>
            <w:vAlign w:val="top"/>
          </w:tcPr>
          <w:p>
            <w:pPr>
              <w:spacing w:after="20" w:line="240" w:lineRule="auto"/>
            </w:pPr>
            <w:r>
              <w:rPr>
                <w:rFonts w:ascii="Arial" w:hAnsi="Arial"/>
                <w:b w:val="0"/>
                <w:color w:val="375623"/>
                <w:sz w:val="15"/>
              </w:rPr>
              <w:t>+1.02</w:t>
            </w:r>
          </w:p>
        </w:tc>
        <w:tc>
          <w:tcPr>
            <w:tcW w:type="dxa" w:w="1944"/>
            <w:vAlign w:val="top"/>
          </w:tcPr>
          <w:p>
            <w:pPr>
              <w:spacing w:after="20" w:line="240" w:lineRule="auto"/>
            </w:pPr>
            <w:r>
              <w:rPr>
                <w:rFonts w:ascii="Arial" w:hAnsi="Arial"/>
                <w:b w:val="0"/>
                <w:color w:val="595959"/>
                <w:sz w:val="15"/>
              </w:rPr>
              <w:t>sticky_late_cycle_ai, reopening_soft_landing</w:t>
            </w:r>
          </w:p>
        </w:tc>
        <w:tc>
          <w:tcPr>
            <w:tcW w:type="dxa" w:w="1944"/>
            <w:vAlign w:val="top"/>
          </w:tcPr>
          <w:p>
            <w:pPr>
              <w:spacing w:after="20" w:line="240" w:lineRule="auto"/>
            </w:pPr>
            <w:r>
              <w:rPr>
                <w:rFonts w:ascii="Arial" w:hAnsi="Arial"/>
                <w:b w:val="0"/>
                <w:color w:val="595959"/>
                <w:sz w:val="15"/>
              </w:rPr>
              <w:t>ai_capex_rollover, late_cycle_risk_off, oil_inflation_tail</w:t>
            </w:r>
          </w:p>
        </w:tc>
        <w:tc>
          <w:tcPr>
            <w:tcW w:type="dxa" w:w="3816"/>
            <w:vAlign w:val="top"/>
          </w:tcPr>
          <w:p>
            <w:pPr>
              <w:spacing w:after="20" w:line="240" w:lineRule="auto"/>
            </w:pPr>
            <w:r>
              <w:rPr>
                <w:rFonts w:ascii="Arial" w:hAnsi="Arial"/>
                <w:b w:val="0"/>
                <w:color w:val="595959"/>
                <w:sz w:val="15"/>
              </w:rPr>
              <w:t>Sticky Late Cycle AI +1.02; Reopening / Soft Landing +0.36; AI Capex Rollover -0.14; Late Cycle Risk-Off -0.12; Oil Inflation Tail -0.10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4</w:t>
            </w:r>
          </w:p>
        </w:tc>
        <w:tc>
          <w:tcPr>
            <w:tcW w:type="dxa" w:w="2232"/>
            <w:shd w:fill="F7F9FC"/>
            <w:vAlign w:val="top"/>
          </w:tcPr>
          <w:p>
            <w:pPr>
              <w:spacing w:after="20" w:line="240" w:lineRule="auto"/>
            </w:pPr>
            <w:r>
              <w:rPr>
                <w:rFonts w:ascii="Arial" w:hAnsi="Arial"/>
                <w:b w:val="0"/>
                <w:color w:val="595959"/>
                <w:sz w:val="15"/>
              </w:rPr>
              <w:t>Cash and short duration</w:t>
            </w:r>
          </w:p>
        </w:tc>
        <w:tc>
          <w:tcPr>
            <w:tcW w:type="dxa" w:w="1224"/>
            <w:shd w:fill="F7F9FC"/>
            <w:vAlign w:val="top"/>
          </w:tcPr>
          <w:p>
            <w:pPr>
              <w:spacing w:after="20" w:line="240" w:lineRule="auto"/>
            </w:pPr>
            <w:r>
              <w:rPr>
                <w:rFonts w:ascii="Arial" w:hAnsi="Arial"/>
                <w:b w:val="0"/>
                <w:color w:val="375623"/>
                <w:sz w:val="15"/>
              </w:rPr>
              <w:t>+0.97</w:t>
            </w:r>
          </w:p>
        </w:tc>
        <w:tc>
          <w:tcPr>
            <w:tcW w:type="dxa" w:w="1944"/>
            <w:shd w:fill="F7F9FC"/>
            <w:vAlign w:val="top"/>
          </w:tcPr>
          <w:p>
            <w:pPr>
              <w:spacing w:after="20" w:line="240" w:lineRule="auto"/>
            </w:pPr>
            <w:r>
              <w:rPr>
                <w:rFonts w:ascii="Arial" w:hAnsi="Arial"/>
                <w:b w:val="0"/>
                <w:color w:val="595959"/>
                <w:sz w:val="15"/>
              </w:rPr>
              <w:t>sticky_late_cycle_ai, late_cycle_risk_off, oil_inflation_tail</w:t>
            </w:r>
          </w:p>
        </w:tc>
        <w:tc>
          <w:tcPr>
            <w:tcW w:type="dxa" w:w="1944"/>
            <w:shd w:fill="F7F9FC"/>
            <w:vAlign w:val="top"/>
          </w:tcPr>
          <w:p>
            <w:pPr>
              <w:spacing w:after="20" w:line="240" w:lineRule="auto"/>
            </w:pPr>
            <w:r>
              <w:rPr>
                <w:rFonts w:ascii="Arial" w:hAnsi="Arial"/>
                <w:b w:val="0"/>
                <w:color w:val="595959"/>
                <w:sz w:val="15"/>
              </w:rPr>
              <w:t>reopening_soft_landing</w:t>
            </w:r>
          </w:p>
        </w:tc>
        <w:tc>
          <w:tcPr>
            <w:tcW w:type="dxa" w:w="3816"/>
            <w:shd w:fill="F7F9FC"/>
            <w:vAlign w:val="top"/>
          </w:tcPr>
          <w:p>
            <w:pPr>
              <w:spacing w:after="20" w:line="240" w:lineRule="auto"/>
            </w:pPr>
            <w:r>
              <w:rPr>
                <w:rFonts w:ascii="Arial" w:hAnsi="Arial"/>
                <w:b w:val="0"/>
                <w:color w:val="595959"/>
                <w:sz w:val="15"/>
              </w:rPr>
              <w:t>Sticky Late Cycle AI +0.68; Late Cycle Risk-Off +0.37; Reopening / Soft Landing -0.36; Oil Inflation Tail +0.21; AI Capex Rollover +0.07</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5</w:t>
            </w:r>
          </w:p>
        </w:tc>
        <w:tc>
          <w:tcPr>
            <w:tcW w:type="dxa" w:w="2232"/>
            <w:vAlign w:val="top"/>
          </w:tcPr>
          <w:p>
            <w:pPr>
              <w:spacing w:after="20" w:line="240" w:lineRule="auto"/>
            </w:pPr>
            <w:r>
              <w:rPr>
                <w:rFonts w:ascii="Arial" w:hAnsi="Arial"/>
                <w:b w:val="0"/>
                <w:color w:val="595959"/>
                <w:sz w:val="15"/>
              </w:rPr>
              <w:t>Commodities and real assets</w:t>
            </w:r>
          </w:p>
        </w:tc>
        <w:tc>
          <w:tcPr>
            <w:tcW w:type="dxa" w:w="1224"/>
            <w:vAlign w:val="top"/>
          </w:tcPr>
          <w:p>
            <w:pPr>
              <w:spacing w:after="20" w:line="240" w:lineRule="auto"/>
            </w:pPr>
            <w:r>
              <w:rPr>
                <w:rFonts w:ascii="Arial" w:hAnsi="Arial"/>
                <w:b w:val="0"/>
                <w:color w:val="375623"/>
                <w:sz w:val="15"/>
              </w:rPr>
              <w:t>+0.77</w:t>
            </w:r>
          </w:p>
        </w:tc>
        <w:tc>
          <w:tcPr>
            <w:tcW w:type="dxa" w:w="1944"/>
            <w:vAlign w:val="top"/>
          </w:tcPr>
          <w:p>
            <w:pPr>
              <w:spacing w:after="20" w:line="240" w:lineRule="auto"/>
            </w:pPr>
            <w:r>
              <w:rPr>
                <w:rFonts w:ascii="Arial" w:hAnsi="Arial"/>
                <w:b w:val="0"/>
                <w:color w:val="595959"/>
                <w:sz w:val="15"/>
              </w:rPr>
              <w:t>sticky_late_cycle_ai, oil_inflation_tail, late_cycle_risk_off</w:t>
            </w:r>
          </w:p>
        </w:tc>
        <w:tc>
          <w:tcPr>
            <w:tcW w:type="dxa" w:w="1944"/>
            <w:vAlign w:val="top"/>
          </w:tcPr>
          <w:p>
            <w:pPr>
              <w:spacing w:after="20" w:line="240" w:lineRule="auto"/>
            </w:pPr>
            <w:r>
              <w:rPr>
                <w:rFonts w:ascii="Arial" w:hAnsi="Arial"/>
                <w:b w:val="0"/>
                <w:color w:val="595959"/>
                <w:sz w:val="15"/>
              </w:rPr>
              <w:t>-</w:t>
            </w:r>
          </w:p>
        </w:tc>
        <w:tc>
          <w:tcPr>
            <w:tcW w:type="dxa" w:w="3816"/>
            <w:vAlign w:val="top"/>
          </w:tcPr>
          <w:p>
            <w:pPr>
              <w:spacing w:after="20" w:line="240" w:lineRule="auto"/>
            </w:pPr>
            <w:r>
              <w:rPr>
                <w:rFonts w:ascii="Arial" w:hAnsi="Arial"/>
                <w:b w:val="0"/>
                <w:color w:val="595959"/>
                <w:sz w:val="15"/>
              </w:rPr>
              <w:t>Sticky Late Cycle AI +0.34; Oil Inflation Tail +0.31; Late Cycle Risk-Off +0.12; Reopening / Soft Landing +0.00;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6</w:t>
            </w:r>
          </w:p>
        </w:tc>
        <w:tc>
          <w:tcPr>
            <w:tcW w:type="dxa" w:w="2232"/>
            <w:shd w:fill="F7F9FC"/>
            <w:vAlign w:val="top"/>
          </w:tcPr>
          <w:p>
            <w:pPr>
              <w:spacing w:after="20" w:line="240" w:lineRule="auto"/>
            </w:pPr>
            <w:r>
              <w:rPr>
                <w:rFonts w:ascii="Arial" w:hAnsi="Arial"/>
                <w:b w:val="0"/>
                <w:color w:val="595959"/>
                <w:sz w:val="15"/>
              </w:rPr>
              <w:t>Healthcare defensives</w:t>
            </w:r>
          </w:p>
        </w:tc>
        <w:tc>
          <w:tcPr>
            <w:tcW w:type="dxa" w:w="1224"/>
            <w:shd w:fill="F7F9FC"/>
            <w:vAlign w:val="top"/>
          </w:tcPr>
          <w:p>
            <w:pPr>
              <w:spacing w:after="20" w:line="240" w:lineRule="auto"/>
            </w:pPr>
            <w:r>
              <w:rPr>
                <w:rFonts w:ascii="Arial" w:hAnsi="Arial"/>
                <w:b w:val="0"/>
                <w:color w:val="375623"/>
                <w:sz w:val="15"/>
              </w:rPr>
              <w:t>+0.76</w:t>
            </w:r>
          </w:p>
        </w:tc>
        <w:tc>
          <w:tcPr>
            <w:tcW w:type="dxa" w:w="1944"/>
            <w:shd w:fill="F7F9FC"/>
            <w:vAlign w:val="top"/>
          </w:tcPr>
          <w:p>
            <w:pPr>
              <w:spacing w:after="20" w:line="240" w:lineRule="auto"/>
            </w:pPr>
            <w:r>
              <w:rPr>
                <w:rFonts w:ascii="Arial" w:hAnsi="Arial"/>
                <w:b w:val="0"/>
                <w:color w:val="595959"/>
                <w:sz w:val="15"/>
              </w:rPr>
              <w:t>sticky_late_cycle_ai, late_cycle_risk_off, oil_inflation_tail</w:t>
            </w:r>
          </w:p>
        </w:tc>
        <w:tc>
          <w:tcPr>
            <w:tcW w:type="dxa" w:w="1944"/>
            <w:shd w:fill="F7F9FC"/>
            <w:vAlign w:val="top"/>
          </w:tcPr>
          <w:p>
            <w:pPr>
              <w:spacing w:after="20" w:line="240" w:lineRule="auto"/>
            </w:pPr>
            <w:r>
              <w:rPr>
                <w:rFonts w:ascii="Arial" w:hAnsi="Arial"/>
                <w:b w:val="0"/>
                <w:color w:val="595959"/>
                <w:sz w:val="15"/>
              </w:rPr>
              <w:t>-</w:t>
            </w:r>
          </w:p>
        </w:tc>
        <w:tc>
          <w:tcPr>
            <w:tcW w:type="dxa" w:w="3816"/>
            <w:shd w:fill="F7F9FC"/>
            <w:vAlign w:val="top"/>
          </w:tcPr>
          <w:p>
            <w:pPr>
              <w:spacing w:after="20" w:line="240" w:lineRule="auto"/>
            </w:pPr>
            <w:r>
              <w:rPr>
                <w:rFonts w:ascii="Arial" w:hAnsi="Arial"/>
                <w:b w:val="0"/>
                <w:color w:val="595959"/>
                <w:sz w:val="15"/>
              </w:rPr>
              <w:t>Sticky Late Cycle AI +0.34; Late Cycle Risk-Off +0.25; Oil Inflation Tail +0.10; AI Capex Rollover +0.07; Reopening / Soft Landing +0.00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7</w:t>
            </w:r>
          </w:p>
        </w:tc>
        <w:tc>
          <w:tcPr>
            <w:tcW w:type="dxa" w:w="2232"/>
            <w:vAlign w:val="top"/>
          </w:tcPr>
          <w:p>
            <w:pPr>
              <w:spacing w:after="20" w:line="240" w:lineRule="auto"/>
            </w:pPr>
            <w:r>
              <w:rPr>
                <w:rFonts w:ascii="Arial" w:hAnsi="Arial"/>
                <w:b w:val="0"/>
                <w:color w:val="595959"/>
                <w:sz w:val="15"/>
              </w:rPr>
              <w:t>Defense and geopolitics</w:t>
            </w:r>
          </w:p>
        </w:tc>
        <w:tc>
          <w:tcPr>
            <w:tcW w:type="dxa" w:w="1224"/>
            <w:vAlign w:val="top"/>
          </w:tcPr>
          <w:p>
            <w:pPr>
              <w:spacing w:after="20" w:line="240" w:lineRule="auto"/>
            </w:pPr>
            <w:r>
              <w:rPr>
                <w:rFonts w:ascii="Arial" w:hAnsi="Arial"/>
                <w:b w:val="0"/>
                <w:color w:val="375623"/>
                <w:sz w:val="15"/>
              </w:rPr>
              <w:t>+0.67</w:t>
            </w:r>
          </w:p>
        </w:tc>
        <w:tc>
          <w:tcPr>
            <w:tcW w:type="dxa" w:w="1944"/>
            <w:vAlign w:val="top"/>
          </w:tcPr>
          <w:p>
            <w:pPr>
              <w:spacing w:after="20" w:line="240" w:lineRule="auto"/>
            </w:pPr>
            <w:r>
              <w:rPr>
                <w:rFonts w:ascii="Arial" w:hAnsi="Arial"/>
                <w:b w:val="0"/>
                <w:color w:val="595959"/>
                <w:sz w:val="15"/>
              </w:rPr>
              <w:t>sticky_late_cycle_ai, oil_inflation_tail, late_cycle_risk_off</w:t>
            </w:r>
          </w:p>
        </w:tc>
        <w:tc>
          <w:tcPr>
            <w:tcW w:type="dxa" w:w="1944"/>
            <w:vAlign w:val="top"/>
          </w:tcPr>
          <w:p>
            <w:pPr>
              <w:spacing w:after="20" w:line="240" w:lineRule="auto"/>
            </w:pPr>
            <w:r>
              <w:rPr>
                <w:rFonts w:ascii="Arial" w:hAnsi="Arial"/>
                <w:b w:val="0"/>
                <w:color w:val="595959"/>
                <w:sz w:val="15"/>
              </w:rPr>
              <w:t>-</w:t>
            </w:r>
          </w:p>
        </w:tc>
        <w:tc>
          <w:tcPr>
            <w:tcW w:type="dxa" w:w="3816"/>
            <w:vAlign w:val="top"/>
          </w:tcPr>
          <w:p>
            <w:pPr>
              <w:spacing w:after="20" w:line="240" w:lineRule="auto"/>
            </w:pPr>
            <w:r>
              <w:rPr>
                <w:rFonts w:ascii="Arial" w:hAnsi="Arial"/>
                <w:b w:val="0"/>
                <w:color w:val="595959"/>
                <w:sz w:val="15"/>
              </w:rPr>
              <w:t>Sticky Late Cycle AI +0.34; Oil Inflation Tail +0.21; Late Cycle Risk-Off +0.12; Reopening / Soft Landing +0.00;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8</w:t>
            </w:r>
          </w:p>
        </w:tc>
        <w:tc>
          <w:tcPr>
            <w:tcW w:type="dxa" w:w="2232"/>
            <w:shd w:fill="F7F9FC"/>
            <w:vAlign w:val="top"/>
          </w:tcPr>
          <w:p>
            <w:pPr>
              <w:spacing w:after="20" w:line="240" w:lineRule="auto"/>
            </w:pPr>
            <w:r>
              <w:rPr>
                <w:rFonts w:ascii="Arial" w:hAnsi="Arial"/>
                <w:b w:val="0"/>
                <w:color w:val="595959"/>
                <w:sz w:val="15"/>
              </w:rPr>
              <w:t>Memory semiconductors</w:t>
            </w:r>
          </w:p>
        </w:tc>
        <w:tc>
          <w:tcPr>
            <w:tcW w:type="dxa" w:w="1224"/>
            <w:shd w:fill="F7F9FC"/>
            <w:vAlign w:val="top"/>
          </w:tcPr>
          <w:p>
            <w:pPr>
              <w:spacing w:after="20" w:line="240" w:lineRule="auto"/>
            </w:pPr>
            <w:r>
              <w:rPr>
                <w:rFonts w:ascii="Arial" w:hAnsi="Arial"/>
                <w:b w:val="0"/>
                <w:color w:val="375623"/>
                <w:sz w:val="15"/>
              </w:rPr>
              <w:t>+0.21</w:t>
            </w:r>
          </w:p>
        </w:tc>
        <w:tc>
          <w:tcPr>
            <w:tcW w:type="dxa" w:w="1944"/>
            <w:shd w:fill="F7F9FC"/>
            <w:vAlign w:val="top"/>
          </w:tcPr>
          <w:p>
            <w:pPr>
              <w:spacing w:after="20" w:line="240" w:lineRule="auto"/>
            </w:pPr>
            <w:r>
              <w:rPr>
                <w:rFonts w:ascii="Arial" w:hAnsi="Arial"/>
                <w:b w:val="0"/>
                <w:color w:val="595959"/>
                <w:sz w:val="15"/>
              </w:rPr>
              <w:t>reopening_soft_landing, sticky_late_cycle_ai</w:t>
            </w:r>
          </w:p>
        </w:tc>
        <w:tc>
          <w:tcPr>
            <w:tcW w:type="dxa" w:w="1944"/>
            <w:shd w:fill="F7F9FC"/>
            <w:vAlign w:val="top"/>
          </w:tcPr>
          <w:p>
            <w:pPr>
              <w:spacing w:after="20" w:line="240" w:lineRule="auto"/>
            </w:pPr>
            <w:r>
              <w:rPr>
                <w:rFonts w:ascii="Arial" w:hAnsi="Arial"/>
                <w:b w:val="0"/>
                <w:color w:val="595959"/>
                <w:sz w:val="15"/>
              </w:rPr>
              <w:t>late_cycle_risk_off, ai_capex_rollover, oil_inflation_tail</w:t>
            </w:r>
          </w:p>
        </w:tc>
        <w:tc>
          <w:tcPr>
            <w:tcW w:type="dxa" w:w="3816"/>
            <w:shd w:fill="F7F9FC"/>
            <w:vAlign w:val="top"/>
          </w:tcPr>
          <w:p>
            <w:pPr>
              <w:spacing w:after="20" w:line="240" w:lineRule="auto"/>
            </w:pPr>
            <w:r>
              <w:rPr>
                <w:rFonts w:ascii="Arial" w:hAnsi="Arial"/>
                <w:b w:val="0"/>
                <w:color w:val="595959"/>
                <w:sz w:val="15"/>
              </w:rPr>
              <w:t>Reopening / Soft Landing +0.36; Sticky Late Cycle AI +0.34; Late Cycle Risk-Off -0.25; AI Capex Rollover -0.14; Oil Inflation Tail -0.10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9</w:t>
            </w:r>
          </w:p>
        </w:tc>
        <w:tc>
          <w:tcPr>
            <w:tcW w:type="dxa" w:w="2232"/>
            <w:vAlign w:val="top"/>
          </w:tcPr>
          <w:p>
            <w:pPr>
              <w:spacing w:after="20" w:line="240" w:lineRule="auto"/>
            </w:pPr>
            <w:r>
              <w:rPr>
                <w:rFonts w:ascii="Arial" w:hAnsi="Arial"/>
                <w:b w:val="0"/>
                <w:color w:val="595959"/>
                <w:sz w:val="15"/>
              </w:rPr>
              <w:t>Energy and oil beta</w:t>
            </w:r>
          </w:p>
        </w:tc>
        <w:tc>
          <w:tcPr>
            <w:tcW w:type="dxa" w:w="1224"/>
            <w:vAlign w:val="top"/>
          </w:tcPr>
          <w:p>
            <w:pPr>
              <w:spacing w:after="20" w:line="240" w:lineRule="auto"/>
            </w:pPr>
            <w:r>
              <w:rPr>
                <w:rFonts w:ascii="Arial" w:hAnsi="Arial"/>
                <w:b w:val="0"/>
                <w:color w:val="375623"/>
                <w:sz w:val="15"/>
              </w:rPr>
              <w:t>+0.16</w:t>
            </w:r>
          </w:p>
        </w:tc>
        <w:tc>
          <w:tcPr>
            <w:tcW w:type="dxa" w:w="1944"/>
            <w:vAlign w:val="top"/>
          </w:tcPr>
          <w:p>
            <w:pPr>
              <w:spacing w:after="20" w:line="240" w:lineRule="auto"/>
            </w:pPr>
            <w:r>
              <w:rPr>
                <w:rFonts w:ascii="Arial" w:hAnsi="Arial"/>
                <w:b w:val="0"/>
                <w:color w:val="595959"/>
                <w:sz w:val="15"/>
              </w:rPr>
              <w:t>sticky_late_cycle_ai, oil_inflation_tail</w:t>
            </w:r>
          </w:p>
        </w:tc>
        <w:tc>
          <w:tcPr>
            <w:tcW w:type="dxa" w:w="1944"/>
            <w:vAlign w:val="top"/>
          </w:tcPr>
          <w:p>
            <w:pPr>
              <w:spacing w:after="20" w:line="240" w:lineRule="auto"/>
            </w:pPr>
            <w:r>
              <w:rPr>
                <w:rFonts w:ascii="Arial" w:hAnsi="Arial"/>
                <w:b w:val="0"/>
                <w:color w:val="595959"/>
                <w:sz w:val="15"/>
              </w:rPr>
              <w:t>reopening_soft_landing, late_cycle_risk_off</w:t>
            </w:r>
          </w:p>
        </w:tc>
        <w:tc>
          <w:tcPr>
            <w:tcW w:type="dxa" w:w="3816"/>
            <w:vAlign w:val="top"/>
          </w:tcPr>
          <w:p>
            <w:pPr>
              <w:spacing w:after="20" w:line="240" w:lineRule="auto"/>
            </w:pPr>
            <w:r>
              <w:rPr>
                <w:rFonts w:ascii="Arial" w:hAnsi="Arial"/>
                <w:b w:val="0"/>
                <w:color w:val="595959"/>
                <w:sz w:val="15"/>
              </w:rPr>
              <w:t>Reopening / Soft Landing -0.36; Sticky Late Cycle AI +0.34; Oil Inflation Tail +0.31; Late Cycle Risk-Off -0.12;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10</w:t>
            </w:r>
          </w:p>
        </w:tc>
        <w:tc>
          <w:tcPr>
            <w:tcW w:type="dxa" w:w="2232"/>
            <w:shd w:fill="F7F9FC"/>
            <w:vAlign w:val="top"/>
          </w:tcPr>
          <w:p>
            <w:pPr>
              <w:spacing w:after="20" w:line="240" w:lineRule="auto"/>
            </w:pPr>
            <w:r>
              <w:rPr>
                <w:rFonts w:ascii="Arial" w:hAnsi="Arial"/>
                <w:b w:val="0"/>
                <w:color w:val="595959"/>
                <w:sz w:val="15"/>
              </w:rPr>
              <w:t>High-beta AI semiconductors</w:t>
            </w:r>
          </w:p>
        </w:tc>
        <w:tc>
          <w:tcPr>
            <w:tcW w:type="dxa" w:w="1224"/>
            <w:shd w:fill="F7F9FC"/>
            <w:vAlign w:val="top"/>
          </w:tcPr>
          <w:p>
            <w:pPr>
              <w:spacing w:after="20" w:line="240" w:lineRule="auto"/>
            </w:pPr>
            <w:r>
              <w:rPr>
                <w:rFonts w:ascii="Arial" w:hAnsi="Arial"/>
                <w:b w:val="0"/>
                <w:color w:val="C00000"/>
                <w:sz w:val="15"/>
              </w:rPr>
              <w:t>-0.09</w:t>
            </w:r>
          </w:p>
        </w:tc>
        <w:tc>
          <w:tcPr>
            <w:tcW w:type="dxa" w:w="1944"/>
            <w:shd w:fill="F7F9FC"/>
            <w:vAlign w:val="top"/>
          </w:tcPr>
          <w:p>
            <w:pPr>
              <w:spacing w:after="20" w:line="240" w:lineRule="auto"/>
            </w:pPr>
            <w:r>
              <w:rPr>
                <w:rFonts w:ascii="Arial" w:hAnsi="Arial"/>
                <w:b w:val="0"/>
                <w:color w:val="595959"/>
                <w:sz w:val="15"/>
              </w:rPr>
              <w:t>reopening_soft_landing, sticky_late_cycle_ai</w:t>
            </w:r>
          </w:p>
        </w:tc>
        <w:tc>
          <w:tcPr>
            <w:tcW w:type="dxa" w:w="1944"/>
            <w:shd w:fill="F7F9FC"/>
            <w:vAlign w:val="top"/>
          </w:tcPr>
          <w:p>
            <w:pPr>
              <w:spacing w:after="20" w:line="240" w:lineRule="auto"/>
            </w:pPr>
            <w:r>
              <w:rPr>
                <w:rFonts w:ascii="Arial" w:hAnsi="Arial"/>
                <w:b w:val="0"/>
                <w:color w:val="595959"/>
                <w:sz w:val="15"/>
              </w:rPr>
              <w:t>late_cycle_risk_off, ai_capex_rollover, oil_inflation_tail</w:t>
            </w:r>
          </w:p>
        </w:tc>
        <w:tc>
          <w:tcPr>
            <w:tcW w:type="dxa" w:w="3816"/>
            <w:shd w:fill="F7F9FC"/>
            <w:vAlign w:val="top"/>
          </w:tcPr>
          <w:p>
            <w:pPr>
              <w:spacing w:after="20" w:line="240" w:lineRule="auto"/>
            </w:pPr>
            <w:r>
              <w:rPr>
                <w:rFonts w:ascii="Arial" w:hAnsi="Arial"/>
                <w:b w:val="0"/>
                <w:color w:val="595959"/>
                <w:sz w:val="15"/>
              </w:rPr>
              <w:t>Late Cycle Risk-Off -0.37; Reopening / Soft Landing +0.36; Sticky Late Cycle AI +0.34; AI Capex Rollover -0.21; Oil Inflation Tail -0.21</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11</w:t>
            </w:r>
          </w:p>
        </w:tc>
        <w:tc>
          <w:tcPr>
            <w:tcW w:type="dxa" w:w="2232"/>
            <w:vAlign w:val="top"/>
          </w:tcPr>
          <w:p>
            <w:pPr>
              <w:spacing w:after="20" w:line="240" w:lineRule="auto"/>
            </w:pPr>
            <w:r>
              <w:rPr>
                <w:rFonts w:ascii="Arial" w:hAnsi="Arial"/>
                <w:b w:val="0"/>
                <w:color w:val="595959"/>
                <w:sz w:val="15"/>
              </w:rPr>
              <w:t>Long-duration growth</w:t>
            </w:r>
          </w:p>
        </w:tc>
        <w:tc>
          <w:tcPr>
            <w:tcW w:type="dxa" w:w="1224"/>
            <w:vAlign w:val="top"/>
          </w:tcPr>
          <w:p>
            <w:pPr>
              <w:spacing w:after="20" w:line="240" w:lineRule="auto"/>
            </w:pPr>
            <w:r>
              <w:rPr>
                <w:rFonts w:ascii="Arial" w:hAnsi="Arial"/>
                <w:b w:val="0"/>
                <w:color w:val="C00000"/>
                <w:sz w:val="15"/>
              </w:rPr>
              <w:t>-0.17</w:t>
            </w:r>
          </w:p>
        </w:tc>
        <w:tc>
          <w:tcPr>
            <w:tcW w:type="dxa" w:w="1944"/>
            <w:vAlign w:val="top"/>
          </w:tcPr>
          <w:p>
            <w:pPr>
              <w:spacing w:after="20" w:line="240" w:lineRule="auto"/>
            </w:pPr>
            <w:r>
              <w:rPr>
                <w:rFonts w:ascii="Arial" w:hAnsi="Arial"/>
                <w:b w:val="0"/>
                <w:color w:val="595959"/>
                <w:sz w:val="15"/>
              </w:rPr>
              <w:t>reopening_soft_landing</w:t>
            </w:r>
          </w:p>
        </w:tc>
        <w:tc>
          <w:tcPr>
            <w:tcW w:type="dxa" w:w="1944"/>
            <w:vAlign w:val="top"/>
          </w:tcPr>
          <w:p>
            <w:pPr>
              <w:spacing w:after="20" w:line="240" w:lineRule="auto"/>
            </w:pPr>
            <w:r>
              <w:rPr>
                <w:rFonts w:ascii="Arial" w:hAnsi="Arial"/>
                <w:b w:val="0"/>
                <w:color w:val="595959"/>
                <w:sz w:val="15"/>
              </w:rPr>
              <w:t>sticky_late_cycle_ai, oil_inflation_tail, late_cycle_risk_off</w:t>
            </w:r>
          </w:p>
        </w:tc>
        <w:tc>
          <w:tcPr>
            <w:tcW w:type="dxa" w:w="3816"/>
            <w:vAlign w:val="top"/>
          </w:tcPr>
          <w:p>
            <w:pPr>
              <w:spacing w:after="20" w:line="240" w:lineRule="auto"/>
            </w:pPr>
            <w:r>
              <w:rPr>
                <w:rFonts w:ascii="Arial" w:hAnsi="Arial"/>
                <w:b w:val="0"/>
                <w:color w:val="595959"/>
                <w:sz w:val="15"/>
              </w:rPr>
              <w:t>Reopening / Soft Landing +0.72; Sticky Late Cycle AI -0.34; Oil Inflation Tail -0.31; Late Cycle Risk-Off -0.25;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12</w:t>
            </w:r>
          </w:p>
        </w:tc>
        <w:tc>
          <w:tcPr>
            <w:tcW w:type="dxa" w:w="2232"/>
            <w:shd w:fill="F7F9FC"/>
            <w:vAlign w:val="top"/>
          </w:tcPr>
          <w:p>
            <w:pPr>
              <w:spacing w:after="20" w:line="240" w:lineRule="auto"/>
            </w:pPr>
            <w:r>
              <w:rPr>
                <w:rFonts w:ascii="Arial" w:hAnsi="Arial"/>
                <w:b w:val="0"/>
                <w:color w:val="595959"/>
                <w:sz w:val="15"/>
              </w:rPr>
              <w:t>Small caps</w:t>
            </w:r>
          </w:p>
        </w:tc>
        <w:tc>
          <w:tcPr>
            <w:tcW w:type="dxa" w:w="1224"/>
            <w:shd w:fill="F7F9FC"/>
            <w:vAlign w:val="top"/>
          </w:tcPr>
          <w:p>
            <w:pPr>
              <w:spacing w:after="20" w:line="240" w:lineRule="auto"/>
            </w:pPr>
            <w:r>
              <w:rPr>
                <w:rFonts w:ascii="Arial" w:hAnsi="Arial"/>
                <w:b w:val="0"/>
                <w:color w:val="C00000"/>
                <w:sz w:val="15"/>
              </w:rPr>
              <w:t>-0.56</w:t>
            </w:r>
          </w:p>
        </w:tc>
        <w:tc>
          <w:tcPr>
            <w:tcW w:type="dxa" w:w="1944"/>
            <w:shd w:fill="F7F9FC"/>
            <w:vAlign w:val="top"/>
          </w:tcPr>
          <w:p>
            <w:pPr>
              <w:spacing w:after="20" w:line="240" w:lineRule="auto"/>
            </w:pPr>
            <w:r>
              <w:rPr>
                <w:rFonts w:ascii="Arial" w:hAnsi="Arial"/>
                <w:b w:val="0"/>
                <w:color w:val="595959"/>
                <w:sz w:val="15"/>
              </w:rPr>
              <w:t>reopening_soft_landing, ai_capex_rollover</w:t>
            </w:r>
          </w:p>
        </w:tc>
        <w:tc>
          <w:tcPr>
            <w:tcW w:type="dxa" w:w="1944"/>
            <w:shd w:fill="F7F9FC"/>
            <w:vAlign w:val="top"/>
          </w:tcPr>
          <w:p>
            <w:pPr>
              <w:spacing w:after="20" w:line="240" w:lineRule="auto"/>
            </w:pPr>
            <w:r>
              <w:rPr>
                <w:rFonts w:ascii="Arial" w:hAnsi="Arial"/>
                <w:b w:val="0"/>
                <w:color w:val="595959"/>
                <w:sz w:val="15"/>
              </w:rPr>
              <w:t>sticky_late_cycle_ai, late_cycle_risk_off, oil_inflation_tail</w:t>
            </w:r>
          </w:p>
        </w:tc>
        <w:tc>
          <w:tcPr>
            <w:tcW w:type="dxa" w:w="3816"/>
            <w:shd w:fill="F7F9FC"/>
            <w:vAlign w:val="top"/>
          </w:tcPr>
          <w:p>
            <w:pPr>
              <w:spacing w:after="20" w:line="240" w:lineRule="auto"/>
            </w:pPr>
            <w:r>
              <w:rPr>
                <w:rFonts w:ascii="Arial" w:hAnsi="Arial"/>
                <w:b w:val="0"/>
                <w:color w:val="595959"/>
                <w:sz w:val="15"/>
              </w:rPr>
              <w:t>Reopening / Soft Landing +0.72; Sticky Late Cycle AI -0.68; Late Cycle Risk-Off -0.37; Oil Inflation Tail -0.31; AI Capex Rollover +0.07</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bl>
    <w:p>
      <w:pPr>
        <w:spacing w:after="120"/>
      </w:pPr>
    </w:p>
    <w:p>
      <w:pPr>
        <w:spacing w:before="180" w:after="80"/>
      </w:pPr>
      <w:r>
        <w:rPr>
          <w:rFonts w:ascii="Arial" w:hAnsi="Arial"/>
          <w:b/>
          <w:color w:val="2E75B6"/>
          <w:sz w:val="21"/>
        </w:rPr>
        <w:t>Theme Macro Support Math</w:t>
      </w:r>
    </w:p>
    <w:p>
      <w:pPr>
        <w:spacing w:after="40"/>
      </w:pPr>
      <w:r>
        <w:rPr>
          <w:rFonts w:ascii="Arial" w:hAnsi="Arial"/>
          <w:b/>
          <w:color w:val="1F4E79"/>
          <w:sz w:val="17"/>
        </w:rPr>
        <w:t>Grid and power infrastructure: +1.58</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34.10%</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+1.02</w:t>
            </w:r>
          </w:p>
        </w:tc>
        <w:tc>
          <w:tcPr>
            <w:tcW w:type="dxa" w:w="8280"/>
            <w:vAlign w:val="top"/>
          </w:tcPr>
          <w:p>
            <w:pPr>
              <w:spacing w:after="20" w:line="240" w:lineRule="auto"/>
            </w:pPr>
            <w:r>
              <w:rPr>
                <w:rFonts w:ascii="Arial" w:hAnsi="Arial"/>
                <w:b w:val="0"/>
                <w:color w:val="595959"/>
                <w:sz w:val="15"/>
              </w:rPr>
              <w:t>Sticky Late Cycle AI probability 34.1% x theme exposure +3.0.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36.19%</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+0.72</w:t>
            </w:r>
          </w:p>
        </w:tc>
        <w:tc>
          <w:tcPr>
            <w:tcW w:type="dxa" w:w="8280"/>
            <w:shd w:fill="F7F9FC"/>
            <w:vAlign w:val="top"/>
          </w:tcPr>
          <w:p>
            <w:pPr>
              <w:spacing w:after="20" w:line="240" w:lineRule="auto"/>
            </w:pPr>
            <w:r>
              <w:rPr>
                <w:rFonts w:ascii="Arial" w:hAnsi="Arial"/>
                <w:b w:val="0"/>
                <w:color w:val="595959"/>
                <w:sz w:val="15"/>
              </w:rPr>
              <w:t>Reopening / Soft Landing probability 36.2% x theme exposure +2.0.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7.16%</w:t>
            </w:r>
          </w:p>
        </w:tc>
        <w:tc>
          <w:tcPr>
            <w:tcW w:type="dxa" w:w="1008"/>
            <w:vAlign w:val="top"/>
          </w:tcPr>
          <w:p>
            <w:pPr>
              <w:spacing w:after="20" w:line="240" w:lineRule="auto"/>
            </w:pPr>
            <w:r>
              <w:rPr>
                <w:rFonts w:ascii="Arial" w:hAnsi="Arial"/>
                <w:b w:val="0"/>
                <w:color w:val="C00000"/>
                <w:sz w:val="15"/>
              </w:rPr>
              <w:t>-2.00</w:t>
            </w:r>
          </w:p>
        </w:tc>
        <w:tc>
          <w:tcPr>
            <w:tcW w:type="dxa" w:w="1080"/>
            <w:vAlign w:val="top"/>
          </w:tcPr>
          <w:p>
            <w:pPr>
              <w:spacing w:after="20" w:line="240" w:lineRule="auto"/>
            </w:pPr>
            <w:r>
              <w:rPr>
                <w:rFonts w:ascii="Arial" w:hAnsi="Arial"/>
                <w:b w:val="0"/>
                <w:color w:val="C00000"/>
                <w:sz w:val="15"/>
              </w:rPr>
              <w:t>-0.14</w:t>
            </w:r>
          </w:p>
        </w:tc>
        <w:tc>
          <w:tcPr>
            <w:tcW w:type="dxa" w:w="8280"/>
            <w:vAlign w:val="top"/>
          </w:tcPr>
          <w:p>
            <w:pPr>
              <w:spacing w:after="20" w:line="240" w:lineRule="auto"/>
            </w:pPr>
            <w:r>
              <w:rPr>
                <w:rFonts w:ascii="Arial" w:hAnsi="Arial"/>
                <w:b w:val="0"/>
                <w:color w:val="595959"/>
                <w:sz w:val="15"/>
              </w:rPr>
              <w:t>AI Capex Rollover probability 7.2% x theme exposure -2.0.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12.28%</w:t>
            </w:r>
          </w:p>
        </w:tc>
        <w:tc>
          <w:tcPr>
            <w:tcW w:type="dxa" w:w="1008"/>
            <w:shd w:fill="F7F9FC"/>
            <w:vAlign w:val="top"/>
          </w:tcPr>
          <w:p>
            <w:pPr>
              <w:spacing w:after="20" w:line="240" w:lineRule="auto"/>
            </w:pPr>
            <w:r>
              <w:rPr>
                <w:rFonts w:ascii="Arial" w:hAnsi="Arial"/>
                <w:b w:val="0"/>
                <w:color w:val="C00000"/>
                <w:sz w:val="15"/>
              </w:rPr>
              <w:t>-1.00</w:t>
            </w:r>
          </w:p>
        </w:tc>
        <w:tc>
          <w:tcPr>
            <w:tcW w:type="dxa" w:w="1080"/>
            <w:shd w:fill="F7F9FC"/>
            <w:vAlign w:val="top"/>
          </w:tcPr>
          <w:p>
            <w:pPr>
              <w:spacing w:after="20" w:line="240" w:lineRule="auto"/>
            </w:pPr>
            <w:r>
              <w:rPr>
                <w:rFonts w:ascii="Arial" w:hAnsi="Arial"/>
                <w:b w:val="0"/>
                <w:color w:val="C00000"/>
                <w:sz w:val="15"/>
              </w:rPr>
              <w:t>-0.12</w:t>
            </w:r>
          </w:p>
        </w:tc>
        <w:tc>
          <w:tcPr>
            <w:tcW w:type="dxa" w:w="8280"/>
            <w:shd w:fill="F7F9FC"/>
            <w:vAlign w:val="top"/>
          </w:tcPr>
          <w:p>
            <w:pPr>
              <w:spacing w:after="20" w:line="240" w:lineRule="auto"/>
            </w:pPr>
            <w:r>
              <w:rPr>
                <w:rFonts w:ascii="Arial" w:hAnsi="Arial"/>
                <w:b w:val="0"/>
                <w:color w:val="595959"/>
                <w:sz w:val="15"/>
              </w:rPr>
              <w:t>Late Cycle Risk-Off probability 12.3% x theme exposure -1.0.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10.26%</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+0.10</w:t>
            </w:r>
          </w:p>
        </w:tc>
        <w:tc>
          <w:tcPr>
            <w:tcW w:type="dxa" w:w="8280"/>
            <w:vAlign w:val="top"/>
          </w:tcPr>
          <w:p>
            <w:pPr>
              <w:spacing w:after="20" w:line="240" w:lineRule="auto"/>
            </w:pPr>
            <w:r>
              <w:rPr>
                <w:rFonts w:ascii="Arial" w:hAnsi="Arial"/>
                <w:b w:val="0"/>
                <w:color w:val="595959"/>
                <w:sz w:val="15"/>
              </w:rPr>
              <w:t>Oil Inflation Tail probability 10.3%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+1.58</w:t>
            </w:r>
          </w:p>
        </w:tc>
        <w:tc>
          <w:tcPr>
            <w:tcW w:type="dxa" w:w="8280"/>
            <w:shd w:fill="F7F9FC"/>
            <w:vAlign w:val="top"/>
          </w:tcPr>
          <w:p>
            <w:pPr>
              <w:spacing w:after="20" w:line="240" w:lineRule="auto"/>
            </w:pPr>
            <w:r>
              <w:rPr>
                <w:rFonts w:ascii="Arial" w:hAnsi="Arial"/>
                <w:b w:val="0"/>
                <w:color w:val="595959"/>
                <w:sz w:val="15"/>
              </w:rPr>
              <w:t>Positive total +1.85; negative total -0.27.</w:t>
            </w:r>
          </w:p>
        </w:tc>
      </w:tr>
    </w:tbl>
    <w:p>
      <w:pPr>
        <w:spacing w:after="120"/>
      </w:pPr>
    </w:p>
    <w:p>
      <w:pPr>
        <w:spacing w:after="40"/>
      </w:pPr>
      <w:r>
        <w:rPr>
          <w:rFonts w:ascii="Arial" w:hAnsi="Arial"/>
          <w:b/>
          <w:color w:val="1F4E79"/>
          <w:sz w:val="17"/>
        </w:rPr>
        <w:t>Quality ex-AI cash flow: +1.54</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34.10%</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+0.68</w:t>
            </w:r>
          </w:p>
        </w:tc>
        <w:tc>
          <w:tcPr>
            <w:tcW w:type="dxa" w:w="8280"/>
            <w:vAlign w:val="top"/>
          </w:tcPr>
          <w:p>
            <w:pPr>
              <w:spacing w:after="20" w:line="240" w:lineRule="auto"/>
            </w:pPr>
            <w:r>
              <w:rPr>
                <w:rFonts w:ascii="Arial" w:hAnsi="Arial"/>
                <w:b w:val="0"/>
                <w:color w:val="595959"/>
                <w:sz w:val="15"/>
              </w:rPr>
              <w:t>Sticky Late Cycle AI probability 34.1% x theme exposure +2.0.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36.19%</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+0.36</w:t>
            </w:r>
          </w:p>
        </w:tc>
        <w:tc>
          <w:tcPr>
            <w:tcW w:type="dxa" w:w="8280"/>
            <w:shd w:fill="F7F9FC"/>
            <w:vAlign w:val="top"/>
          </w:tcPr>
          <w:p>
            <w:pPr>
              <w:spacing w:after="20" w:line="240" w:lineRule="auto"/>
            </w:pPr>
            <w:r>
              <w:rPr>
                <w:rFonts w:ascii="Arial" w:hAnsi="Arial"/>
                <w:b w:val="0"/>
                <w:color w:val="595959"/>
                <w:sz w:val="15"/>
              </w:rPr>
              <w:t>Reopening / Soft Landing probability 36.2% x theme exposure +1.0.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12.28%</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+0.25</w:t>
            </w:r>
          </w:p>
        </w:tc>
        <w:tc>
          <w:tcPr>
            <w:tcW w:type="dxa" w:w="8280"/>
            <w:vAlign w:val="top"/>
          </w:tcPr>
          <w:p>
            <w:pPr>
              <w:spacing w:after="20" w:line="240" w:lineRule="auto"/>
            </w:pPr>
            <w:r>
              <w:rPr>
                <w:rFonts w:ascii="Arial" w:hAnsi="Arial"/>
                <w:b w:val="0"/>
                <w:color w:val="595959"/>
                <w:sz w:val="15"/>
              </w:rPr>
              <w:t>Late Cycle Risk-Off probability 12.3% x theme exposure +2.0.</w:t>
            </w:r>
          </w:p>
        </w:tc>
      </w:tr>
      <w:tr>
        <w:tc>
          <w:tcPr>
            <w:tcW w:type="dxa" w:w="2088"/>
            <w:shd w:fill="F7F9FC"/>
            <w:vAlign w:val="top"/>
          </w:tcPr>
          <w:p>
            <w:pPr>
              <w:spacing w:after="20" w:line="240" w:lineRule="auto"/>
            </w:pPr>
            <w:r>
              <w:rPr>
                <w:rFonts w:ascii="Arial" w:hAnsi="Arial"/>
                <w:b w:val="0"/>
                <w:color w:val="595959"/>
                <w:sz w:val="15"/>
              </w:rPr>
              <w:t>AI Capex Rollover</w:t>
            </w:r>
          </w:p>
        </w:tc>
        <w:tc>
          <w:tcPr>
            <w:tcW w:type="dxa" w:w="1080"/>
            <w:shd w:fill="F7F9FC"/>
            <w:vAlign w:val="top"/>
          </w:tcPr>
          <w:p>
            <w:pPr>
              <w:spacing w:after="20" w:line="240" w:lineRule="auto"/>
            </w:pPr>
            <w:r>
              <w:rPr>
                <w:rFonts w:ascii="Arial" w:hAnsi="Arial"/>
                <w:b w:val="0"/>
                <w:color w:val="595959"/>
                <w:sz w:val="15"/>
              </w:rPr>
              <w:t>7.16%</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+0.14</w:t>
            </w:r>
          </w:p>
        </w:tc>
        <w:tc>
          <w:tcPr>
            <w:tcW w:type="dxa" w:w="8280"/>
            <w:shd w:fill="F7F9FC"/>
            <w:vAlign w:val="top"/>
          </w:tcPr>
          <w:p>
            <w:pPr>
              <w:spacing w:after="20" w:line="240" w:lineRule="auto"/>
            </w:pPr>
            <w:r>
              <w:rPr>
                <w:rFonts w:ascii="Arial" w:hAnsi="Arial"/>
                <w:b w:val="0"/>
                <w:color w:val="595959"/>
                <w:sz w:val="15"/>
              </w:rPr>
              <w:t>AI Capex Rollover probability 7.2% x theme exposure +2.0.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10.26%</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+0.10</w:t>
            </w:r>
          </w:p>
        </w:tc>
        <w:tc>
          <w:tcPr>
            <w:tcW w:type="dxa" w:w="8280"/>
            <w:vAlign w:val="top"/>
          </w:tcPr>
          <w:p>
            <w:pPr>
              <w:spacing w:after="20" w:line="240" w:lineRule="auto"/>
            </w:pPr>
            <w:r>
              <w:rPr>
                <w:rFonts w:ascii="Arial" w:hAnsi="Arial"/>
                <w:b w:val="0"/>
                <w:color w:val="595959"/>
                <w:sz w:val="15"/>
              </w:rPr>
              <w:t>Oil Inflation Tail probability 10.3%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+1.54</w:t>
            </w:r>
          </w:p>
        </w:tc>
        <w:tc>
          <w:tcPr>
            <w:tcW w:type="dxa" w:w="8280"/>
            <w:shd w:fill="F7F9FC"/>
            <w:vAlign w:val="top"/>
          </w:tcPr>
          <w:p>
            <w:pPr>
              <w:spacing w:after="20" w:line="240" w:lineRule="auto"/>
            </w:pPr>
            <w:r>
              <w:rPr>
                <w:rFonts w:ascii="Arial" w:hAnsi="Arial"/>
                <w:b w:val="0"/>
                <w:color w:val="595959"/>
                <w:sz w:val="15"/>
              </w:rPr>
              <w:t>Positive total +1.54; negative total +0.00.</w:t>
            </w:r>
          </w:p>
        </w:tc>
      </w:tr>
    </w:tbl>
    <w:p>
      <w:pPr>
        <w:spacing w:after="120"/>
      </w:pPr>
    </w:p>
    <w:p>
      <w:pPr>
        <w:spacing w:after="40"/>
      </w:pPr>
      <w:r>
        <w:rPr>
          <w:rFonts w:ascii="Arial" w:hAnsi="Arial"/>
          <w:b/>
          <w:color w:val="1F4E79"/>
          <w:sz w:val="17"/>
        </w:rPr>
        <w:t>Quality AI leaders: +1.02</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34.10%</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+1.02</w:t>
            </w:r>
          </w:p>
        </w:tc>
        <w:tc>
          <w:tcPr>
            <w:tcW w:type="dxa" w:w="8280"/>
            <w:vAlign w:val="top"/>
          </w:tcPr>
          <w:p>
            <w:pPr>
              <w:spacing w:after="20" w:line="240" w:lineRule="auto"/>
            </w:pPr>
            <w:r>
              <w:rPr>
                <w:rFonts w:ascii="Arial" w:hAnsi="Arial"/>
                <w:b w:val="0"/>
                <w:color w:val="595959"/>
                <w:sz w:val="15"/>
              </w:rPr>
              <w:t>Sticky Late Cycle AI probability 34.1% x theme exposure +3.0.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36.19%</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+0.36</w:t>
            </w:r>
          </w:p>
        </w:tc>
        <w:tc>
          <w:tcPr>
            <w:tcW w:type="dxa" w:w="8280"/>
            <w:shd w:fill="F7F9FC"/>
            <w:vAlign w:val="top"/>
          </w:tcPr>
          <w:p>
            <w:pPr>
              <w:spacing w:after="20" w:line="240" w:lineRule="auto"/>
            </w:pPr>
            <w:r>
              <w:rPr>
                <w:rFonts w:ascii="Arial" w:hAnsi="Arial"/>
                <w:b w:val="0"/>
                <w:color w:val="595959"/>
                <w:sz w:val="15"/>
              </w:rPr>
              <w:t>Reopening / Soft Landing probability 36.2% x theme exposure +1.0.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7.16%</w:t>
            </w:r>
          </w:p>
        </w:tc>
        <w:tc>
          <w:tcPr>
            <w:tcW w:type="dxa" w:w="1008"/>
            <w:vAlign w:val="top"/>
          </w:tcPr>
          <w:p>
            <w:pPr>
              <w:spacing w:after="20" w:line="240" w:lineRule="auto"/>
            </w:pPr>
            <w:r>
              <w:rPr>
                <w:rFonts w:ascii="Arial" w:hAnsi="Arial"/>
                <w:b w:val="0"/>
                <w:color w:val="C00000"/>
                <w:sz w:val="15"/>
              </w:rPr>
              <w:t>-2.00</w:t>
            </w:r>
          </w:p>
        </w:tc>
        <w:tc>
          <w:tcPr>
            <w:tcW w:type="dxa" w:w="1080"/>
            <w:vAlign w:val="top"/>
          </w:tcPr>
          <w:p>
            <w:pPr>
              <w:spacing w:after="20" w:line="240" w:lineRule="auto"/>
            </w:pPr>
            <w:r>
              <w:rPr>
                <w:rFonts w:ascii="Arial" w:hAnsi="Arial"/>
                <w:b w:val="0"/>
                <w:color w:val="C00000"/>
                <w:sz w:val="15"/>
              </w:rPr>
              <w:t>-0.14</w:t>
            </w:r>
          </w:p>
        </w:tc>
        <w:tc>
          <w:tcPr>
            <w:tcW w:type="dxa" w:w="8280"/>
            <w:vAlign w:val="top"/>
          </w:tcPr>
          <w:p>
            <w:pPr>
              <w:spacing w:after="20" w:line="240" w:lineRule="auto"/>
            </w:pPr>
            <w:r>
              <w:rPr>
                <w:rFonts w:ascii="Arial" w:hAnsi="Arial"/>
                <w:b w:val="0"/>
                <w:color w:val="595959"/>
                <w:sz w:val="15"/>
              </w:rPr>
              <w:t>AI Capex Rollover probability 7.2% x theme exposure -2.0.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12.28%</w:t>
            </w:r>
          </w:p>
        </w:tc>
        <w:tc>
          <w:tcPr>
            <w:tcW w:type="dxa" w:w="1008"/>
            <w:shd w:fill="F7F9FC"/>
            <w:vAlign w:val="top"/>
          </w:tcPr>
          <w:p>
            <w:pPr>
              <w:spacing w:after="20" w:line="240" w:lineRule="auto"/>
            </w:pPr>
            <w:r>
              <w:rPr>
                <w:rFonts w:ascii="Arial" w:hAnsi="Arial"/>
                <w:b w:val="0"/>
                <w:color w:val="C00000"/>
                <w:sz w:val="15"/>
              </w:rPr>
              <w:t>-1.00</w:t>
            </w:r>
          </w:p>
        </w:tc>
        <w:tc>
          <w:tcPr>
            <w:tcW w:type="dxa" w:w="1080"/>
            <w:shd w:fill="F7F9FC"/>
            <w:vAlign w:val="top"/>
          </w:tcPr>
          <w:p>
            <w:pPr>
              <w:spacing w:after="20" w:line="240" w:lineRule="auto"/>
            </w:pPr>
            <w:r>
              <w:rPr>
                <w:rFonts w:ascii="Arial" w:hAnsi="Arial"/>
                <w:b w:val="0"/>
                <w:color w:val="C00000"/>
                <w:sz w:val="15"/>
              </w:rPr>
              <w:t>-0.12</w:t>
            </w:r>
          </w:p>
        </w:tc>
        <w:tc>
          <w:tcPr>
            <w:tcW w:type="dxa" w:w="8280"/>
            <w:shd w:fill="F7F9FC"/>
            <w:vAlign w:val="top"/>
          </w:tcPr>
          <w:p>
            <w:pPr>
              <w:spacing w:after="20" w:line="240" w:lineRule="auto"/>
            </w:pPr>
            <w:r>
              <w:rPr>
                <w:rFonts w:ascii="Arial" w:hAnsi="Arial"/>
                <w:b w:val="0"/>
                <w:color w:val="595959"/>
                <w:sz w:val="15"/>
              </w:rPr>
              <w:t>Late Cycle Risk-Off probability 12.3% x theme exposure -1.0.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10.26%</w:t>
            </w:r>
          </w:p>
        </w:tc>
        <w:tc>
          <w:tcPr>
            <w:tcW w:type="dxa" w:w="1008"/>
            <w:vAlign w:val="top"/>
          </w:tcPr>
          <w:p>
            <w:pPr>
              <w:spacing w:after="20" w:line="240" w:lineRule="auto"/>
            </w:pPr>
            <w:r>
              <w:rPr>
                <w:rFonts w:ascii="Arial" w:hAnsi="Arial"/>
                <w:b w:val="0"/>
                <w:color w:val="C00000"/>
                <w:sz w:val="15"/>
              </w:rPr>
              <w:t>-1.00</w:t>
            </w:r>
          </w:p>
        </w:tc>
        <w:tc>
          <w:tcPr>
            <w:tcW w:type="dxa" w:w="1080"/>
            <w:vAlign w:val="top"/>
          </w:tcPr>
          <w:p>
            <w:pPr>
              <w:spacing w:after="20" w:line="240" w:lineRule="auto"/>
            </w:pPr>
            <w:r>
              <w:rPr>
                <w:rFonts w:ascii="Arial" w:hAnsi="Arial"/>
                <w:b w:val="0"/>
                <w:color w:val="C00000"/>
                <w:sz w:val="15"/>
              </w:rPr>
              <w:t>-0.10</w:t>
            </w:r>
          </w:p>
        </w:tc>
        <w:tc>
          <w:tcPr>
            <w:tcW w:type="dxa" w:w="8280"/>
            <w:vAlign w:val="top"/>
          </w:tcPr>
          <w:p>
            <w:pPr>
              <w:spacing w:after="20" w:line="240" w:lineRule="auto"/>
            </w:pPr>
            <w:r>
              <w:rPr>
                <w:rFonts w:ascii="Arial" w:hAnsi="Arial"/>
                <w:b w:val="0"/>
                <w:color w:val="595959"/>
                <w:sz w:val="15"/>
              </w:rPr>
              <w:t>Oil Inflation Tail probability 10.3%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+1.02</w:t>
            </w:r>
          </w:p>
        </w:tc>
        <w:tc>
          <w:tcPr>
            <w:tcW w:type="dxa" w:w="8280"/>
            <w:shd w:fill="F7F9FC"/>
            <w:vAlign w:val="top"/>
          </w:tcPr>
          <w:p>
            <w:pPr>
              <w:spacing w:after="20" w:line="240" w:lineRule="auto"/>
            </w:pPr>
            <w:r>
              <w:rPr>
                <w:rFonts w:ascii="Arial" w:hAnsi="Arial"/>
                <w:b w:val="0"/>
                <w:color w:val="595959"/>
                <w:sz w:val="15"/>
              </w:rPr>
              <w:t>Positive total +1.38; negative total -0.37.</w:t>
            </w:r>
          </w:p>
        </w:tc>
      </w:tr>
    </w:tbl>
    <w:p>
      <w:pPr>
        <w:spacing w:after="120"/>
      </w:pPr>
    </w:p>
    <w:p>
      <w:pPr>
        <w:spacing w:after="40"/>
      </w:pPr>
      <w:r>
        <w:rPr>
          <w:rFonts w:ascii="Arial" w:hAnsi="Arial"/>
          <w:b/>
          <w:color w:val="1F4E79"/>
          <w:sz w:val="17"/>
        </w:rPr>
        <w:t>Cash and short duration: +0.97</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34.10%</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+0.68</w:t>
            </w:r>
          </w:p>
        </w:tc>
        <w:tc>
          <w:tcPr>
            <w:tcW w:type="dxa" w:w="8280"/>
            <w:vAlign w:val="top"/>
          </w:tcPr>
          <w:p>
            <w:pPr>
              <w:spacing w:after="20" w:line="240" w:lineRule="auto"/>
            </w:pPr>
            <w:r>
              <w:rPr>
                <w:rFonts w:ascii="Arial" w:hAnsi="Arial"/>
                <w:b w:val="0"/>
                <w:color w:val="595959"/>
                <w:sz w:val="15"/>
              </w:rPr>
              <w:t>Sticky Late Cycle AI probability 34.1% x theme exposure +2.0.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12.28%</w:t>
            </w:r>
          </w:p>
        </w:tc>
        <w:tc>
          <w:tcPr>
            <w:tcW w:type="dxa" w:w="1008"/>
            <w:shd w:fill="F7F9FC"/>
            <w:vAlign w:val="top"/>
          </w:tcPr>
          <w:p>
            <w:pPr>
              <w:spacing w:after="20" w:line="240" w:lineRule="auto"/>
            </w:pPr>
            <w:r>
              <w:rPr>
                <w:rFonts w:ascii="Arial" w:hAnsi="Arial"/>
                <w:b w:val="0"/>
                <w:color w:val="375623"/>
                <w:sz w:val="15"/>
              </w:rPr>
              <w:t>+3.00</w:t>
            </w:r>
          </w:p>
        </w:tc>
        <w:tc>
          <w:tcPr>
            <w:tcW w:type="dxa" w:w="1080"/>
            <w:shd w:fill="F7F9FC"/>
            <w:vAlign w:val="top"/>
          </w:tcPr>
          <w:p>
            <w:pPr>
              <w:spacing w:after="20" w:line="240" w:lineRule="auto"/>
            </w:pPr>
            <w:r>
              <w:rPr>
                <w:rFonts w:ascii="Arial" w:hAnsi="Arial"/>
                <w:b w:val="0"/>
                <w:color w:val="375623"/>
                <w:sz w:val="15"/>
              </w:rPr>
              <w:t>+0.37</w:t>
            </w:r>
          </w:p>
        </w:tc>
        <w:tc>
          <w:tcPr>
            <w:tcW w:type="dxa" w:w="8280"/>
            <w:shd w:fill="F7F9FC"/>
            <w:vAlign w:val="top"/>
          </w:tcPr>
          <w:p>
            <w:pPr>
              <w:spacing w:after="20" w:line="240" w:lineRule="auto"/>
            </w:pPr>
            <w:r>
              <w:rPr>
                <w:rFonts w:ascii="Arial" w:hAnsi="Arial"/>
                <w:b w:val="0"/>
                <w:color w:val="595959"/>
                <w:sz w:val="15"/>
              </w:rPr>
              <w:t>Late Cycle Risk-Off probability 12.3% x theme exposure +3.0.</w:t>
            </w:r>
          </w:p>
        </w:tc>
      </w:tr>
      <w:tr>
        <w:tc>
          <w:tcPr>
            <w:tcW w:type="dxa" w:w="2088"/>
            <w:vAlign w:val="top"/>
          </w:tcPr>
          <w:p>
            <w:pPr>
              <w:spacing w:after="20" w:line="240" w:lineRule="auto"/>
            </w:pPr>
            <w:r>
              <w:rPr>
                <w:rFonts w:ascii="Arial" w:hAnsi="Arial"/>
                <w:b w:val="0"/>
                <w:color w:val="595959"/>
                <w:sz w:val="15"/>
              </w:rPr>
              <w:t>Reopening / Soft Landing</w:t>
            </w:r>
          </w:p>
        </w:tc>
        <w:tc>
          <w:tcPr>
            <w:tcW w:type="dxa" w:w="1080"/>
            <w:vAlign w:val="top"/>
          </w:tcPr>
          <w:p>
            <w:pPr>
              <w:spacing w:after="20" w:line="240" w:lineRule="auto"/>
            </w:pPr>
            <w:r>
              <w:rPr>
                <w:rFonts w:ascii="Arial" w:hAnsi="Arial"/>
                <w:b w:val="0"/>
                <w:color w:val="595959"/>
                <w:sz w:val="15"/>
              </w:rPr>
              <w:t>36.19%</w:t>
            </w:r>
          </w:p>
        </w:tc>
        <w:tc>
          <w:tcPr>
            <w:tcW w:type="dxa" w:w="1008"/>
            <w:vAlign w:val="top"/>
          </w:tcPr>
          <w:p>
            <w:pPr>
              <w:spacing w:after="20" w:line="240" w:lineRule="auto"/>
            </w:pPr>
            <w:r>
              <w:rPr>
                <w:rFonts w:ascii="Arial" w:hAnsi="Arial"/>
                <w:b w:val="0"/>
                <w:color w:val="C00000"/>
                <w:sz w:val="15"/>
              </w:rPr>
              <w:t>-1.00</w:t>
            </w:r>
          </w:p>
        </w:tc>
        <w:tc>
          <w:tcPr>
            <w:tcW w:type="dxa" w:w="1080"/>
            <w:vAlign w:val="top"/>
          </w:tcPr>
          <w:p>
            <w:pPr>
              <w:spacing w:after="20" w:line="240" w:lineRule="auto"/>
            </w:pPr>
            <w:r>
              <w:rPr>
                <w:rFonts w:ascii="Arial" w:hAnsi="Arial"/>
                <w:b w:val="0"/>
                <w:color w:val="C00000"/>
                <w:sz w:val="15"/>
              </w:rPr>
              <w:t>-0.36</w:t>
            </w:r>
          </w:p>
        </w:tc>
        <w:tc>
          <w:tcPr>
            <w:tcW w:type="dxa" w:w="8280"/>
            <w:vAlign w:val="top"/>
          </w:tcPr>
          <w:p>
            <w:pPr>
              <w:spacing w:after="20" w:line="240" w:lineRule="auto"/>
            </w:pPr>
            <w:r>
              <w:rPr>
                <w:rFonts w:ascii="Arial" w:hAnsi="Arial"/>
                <w:b w:val="0"/>
                <w:color w:val="595959"/>
                <w:sz w:val="15"/>
              </w:rPr>
              <w:t>Reopening / Soft Landing probability 36.2% x theme exposure -1.0.</w:t>
            </w:r>
          </w:p>
        </w:tc>
      </w:tr>
      <w:tr>
        <w:tc>
          <w:tcPr>
            <w:tcW w:type="dxa" w:w="2088"/>
            <w:shd w:fill="F7F9FC"/>
            <w:vAlign w:val="top"/>
          </w:tcPr>
          <w:p>
            <w:pPr>
              <w:spacing w:after="20" w:line="240" w:lineRule="auto"/>
            </w:pPr>
            <w:r>
              <w:rPr>
                <w:rFonts w:ascii="Arial" w:hAnsi="Arial"/>
                <w:b w:val="0"/>
                <w:color w:val="595959"/>
                <w:sz w:val="15"/>
              </w:rPr>
              <w:t>Oil Inflation Tail</w:t>
            </w:r>
          </w:p>
        </w:tc>
        <w:tc>
          <w:tcPr>
            <w:tcW w:type="dxa" w:w="1080"/>
            <w:shd w:fill="F7F9FC"/>
            <w:vAlign w:val="top"/>
          </w:tcPr>
          <w:p>
            <w:pPr>
              <w:spacing w:after="20" w:line="240" w:lineRule="auto"/>
            </w:pPr>
            <w:r>
              <w:rPr>
                <w:rFonts w:ascii="Arial" w:hAnsi="Arial"/>
                <w:b w:val="0"/>
                <w:color w:val="595959"/>
                <w:sz w:val="15"/>
              </w:rPr>
              <w:t>10.26%</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+0.21</w:t>
            </w:r>
          </w:p>
        </w:tc>
        <w:tc>
          <w:tcPr>
            <w:tcW w:type="dxa" w:w="8280"/>
            <w:shd w:fill="F7F9FC"/>
            <w:vAlign w:val="top"/>
          </w:tcPr>
          <w:p>
            <w:pPr>
              <w:spacing w:after="20" w:line="240" w:lineRule="auto"/>
            </w:pPr>
            <w:r>
              <w:rPr>
                <w:rFonts w:ascii="Arial" w:hAnsi="Arial"/>
                <w:b w:val="0"/>
                <w:color w:val="595959"/>
                <w:sz w:val="15"/>
              </w:rPr>
              <w:t>Oil Inflation Tail probability 10.3% x theme exposure +2.0.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7.16%</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+0.07</w:t>
            </w:r>
          </w:p>
        </w:tc>
        <w:tc>
          <w:tcPr>
            <w:tcW w:type="dxa" w:w="8280"/>
            <w:vAlign w:val="top"/>
          </w:tcPr>
          <w:p>
            <w:pPr>
              <w:spacing w:after="20" w:line="240" w:lineRule="auto"/>
            </w:pPr>
            <w:r>
              <w:rPr>
                <w:rFonts w:ascii="Arial" w:hAnsi="Arial"/>
                <w:b w:val="0"/>
                <w:color w:val="595959"/>
                <w:sz w:val="15"/>
              </w:rPr>
              <w:t>AI Capex Rollover probability 7.2%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+0.97</w:t>
            </w:r>
          </w:p>
        </w:tc>
        <w:tc>
          <w:tcPr>
            <w:tcW w:type="dxa" w:w="8280"/>
            <w:shd w:fill="F7F9FC"/>
            <w:vAlign w:val="top"/>
          </w:tcPr>
          <w:p>
            <w:pPr>
              <w:spacing w:after="20" w:line="240" w:lineRule="auto"/>
            </w:pPr>
            <w:r>
              <w:rPr>
                <w:rFonts w:ascii="Arial" w:hAnsi="Arial"/>
                <w:b w:val="0"/>
                <w:color w:val="595959"/>
                <w:sz w:val="15"/>
              </w:rPr>
              <w:t>Positive total +1.33; negative total -0.36.</w:t>
            </w:r>
          </w:p>
        </w:tc>
      </w:tr>
    </w:tbl>
    <w:p>
      <w:pPr>
        <w:spacing w:after="120"/>
      </w:pPr>
    </w:p>
    <w:p>
      <w:pPr>
        <w:spacing w:after="40"/>
      </w:pPr>
      <w:r>
        <w:rPr>
          <w:rFonts w:ascii="Arial" w:hAnsi="Arial"/>
          <w:b/>
          <w:color w:val="1F4E79"/>
          <w:sz w:val="17"/>
        </w:rPr>
        <w:t>Commodities and real assets: +0.77</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34.10%</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+0.34</w:t>
            </w:r>
          </w:p>
        </w:tc>
        <w:tc>
          <w:tcPr>
            <w:tcW w:type="dxa" w:w="8280"/>
            <w:vAlign w:val="top"/>
          </w:tcPr>
          <w:p>
            <w:pPr>
              <w:spacing w:after="20" w:line="240" w:lineRule="auto"/>
            </w:pPr>
            <w:r>
              <w:rPr>
                <w:rFonts w:ascii="Arial" w:hAnsi="Arial"/>
                <w:b w:val="0"/>
                <w:color w:val="595959"/>
                <w:sz w:val="15"/>
              </w:rPr>
              <w:t>Sticky Late Cycle AI probability 34.1% x theme exposure +1.0.</w:t>
            </w:r>
          </w:p>
        </w:tc>
      </w:tr>
      <w:tr>
        <w:tc>
          <w:tcPr>
            <w:tcW w:type="dxa" w:w="2088"/>
            <w:shd w:fill="F7F9FC"/>
            <w:vAlign w:val="top"/>
          </w:tcPr>
          <w:p>
            <w:pPr>
              <w:spacing w:after="20" w:line="240" w:lineRule="auto"/>
            </w:pPr>
            <w:r>
              <w:rPr>
                <w:rFonts w:ascii="Arial" w:hAnsi="Arial"/>
                <w:b w:val="0"/>
                <w:color w:val="595959"/>
                <w:sz w:val="15"/>
              </w:rPr>
              <w:t>Oil Inflation Tail</w:t>
            </w:r>
          </w:p>
        </w:tc>
        <w:tc>
          <w:tcPr>
            <w:tcW w:type="dxa" w:w="1080"/>
            <w:shd w:fill="F7F9FC"/>
            <w:vAlign w:val="top"/>
          </w:tcPr>
          <w:p>
            <w:pPr>
              <w:spacing w:after="20" w:line="240" w:lineRule="auto"/>
            </w:pPr>
            <w:r>
              <w:rPr>
                <w:rFonts w:ascii="Arial" w:hAnsi="Arial"/>
                <w:b w:val="0"/>
                <w:color w:val="595959"/>
                <w:sz w:val="15"/>
              </w:rPr>
              <w:t>10.26%</w:t>
            </w:r>
          </w:p>
        </w:tc>
        <w:tc>
          <w:tcPr>
            <w:tcW w:type="dxa" w:w="1008"/>
            <w:shd w:fill="F7F9FC"/>
            <w:vAlign w:val="top"/>
          </w:tcPr>
          <w:p>
            <w:pPr>
              <w:spacing w:after="20" w:line="240" w:lineRule="auto"/>
            </w:pPr>
            <w:r>
              <w:rPr>
                <w:rFonts w:ascii="Arial" w:hAnsi="Arial"/>
                <w:b w:val="0"/>
                <w:color w:val="375623"/>
                <w:sz w:val="15"/>
              </w:rPr>
              <w:t>+3.00</w:t>
            </w:r>
          </w:p>
        </w:tc>
        <w:tc>
          <w:tcPr>
            <w:tcW w:type="dxa" w:w="1080"/>
            <w:shd w:fill="F7F9FC"/>
            <w:vAlign w:val="top"/>
          </w:tcPr>
          <w:p>
            <w:pPr>
              <w:spacing w:after="20" w:line="240" w:lineRule="auto"/>
            </w:pPr>
            <w:r>
              <w:rPr>
                <w:rFonts w:ascii="Arial" w:hAnsi="Arial"/>
                <w:b w:val="0"/>
                <w:color w:val="375623"/>
                <w:sz w:val="15"/>
              </w:rPr>
              <w:t>+0.31</w:t>
            </w:r>
          </w:p>
        </w:tc>
        <w:tc>
          <w:tcPr>
            <w:tcW w:type="dxa" w:w="8280"/>
            <w:shd w:fill="F7F9FC"/>
            <w:vAlign w:val="top"/>
          </w:tcPr>
          <w:p>
            <w:pPr>
              <w:spacing w:after="20" w:line="240" w:lineRule="auto"/>
            </w:pPr>
            <w:r>
              <w:rPr>
                <w:rFonts w:ascii="Arial" w:hAnsi="Arial"/>
                <w:b w:val="0"/>
                <w:color w:val="595959"/>
                <w:sz w:val="15"/>
              </w:rPr>
              <w:t>Oil Inflation Tail probability 10.3% x theme exposure +3.0.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12.28%</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+0.12</w:t>
            </w:r>
          </w:p>
        </w:tc>
        <w:tc>
          <w:tcPr>
            <w:tcW w:type="dxa" w:w="8280"/>
            <w:vAlign w:val="top"/>
          </w:tcPr>
          <w:p>
            <w:pPr>
              <w:spacing w:after="20" w:line="240" w:lineRule="auto"/>
            </w:pPr>
            <w:r>
              <w:rPr>
                <w:rFonts w:ascii="Arial" w:hAnsi="Arial"/>
                <w:b w:val="0"/>
                <w:color w:val="595959"/>
                <w:sz w:val="15"/>
              </w:rPr>
              <w:t>Late Cycle Risk-Off probability 12.3% x theme exposure +1.0.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36.19%</w:t>
            </w:r>
          </w:p>
        </w:tc>
        <w:tc>
          <w:tcPr>
            <w:tcW w:type="dxa" w:w="1008"/>
            <w:shd w:fill="F7F9FC"/>
            <w:vAlign w:val="top"/>
          </w:tcPr>
          <w:p>
            <w:pPr>
              <w:spacing w:after="20" w:line="240" w:lineRule="auto"/>
            </w:pPr>
            <w:r>
              <w:rPr>
                <w:rFonts w:ascii="Arial" w:hAnsi="Arial"/>
                <w:b w:val="0"/>
                <w:color w:val="375623"/>
                <w:sz w:val="15"/>
              </w:rPr>
              <w:t>+0.00</w:t>
            </w:r>
          </w:p>
        </w:tc>
        <w:tc>
          <w:tcPr>
            <w:tcW w:type="dxa" w:w="1080"/>
            <w:shd w:fill="F7F9FC"/>
            <w:vAlign w:val="top"/>
          </w:tcPr>
          <w:p>
            <w:pPr>
              <w:spacing w:after="20" w:line="240" w:lineRule="auto"/>
            </w:pPr>
            <w:r>
              <w:rPr>
                <w:rFonts w:ascii="Arial" w:hAnsi="Arial"/>
                <w:b w:val="0"/>
                <w:color w:val="375623"/>
                <w:sz w:val="15"/>
              </w:rPr>
              <w:t>+0.00</w:t>
            </w:r>
          </w:p>
        </w:tc>
        <w:tc>
          <w:tcPr>
            <w:tcW w:type="dxa" w:w="8280"/>
            <w:shd w:fill="F7F9FC"/>
            <w:vAlign w:val="top"/>
          </w:tcPr>
          <w:p>
            <w:pPr>
              <w:spacing w:after="20" w:line="240" w:lineRule="auto"/>
            </w:pPr>
            <w:r>
              <w:rPr>
                <w:rFonts w:ascii="Arial" w:hAnsi="Arial"/>
                <w:b w:val="0"/>
                <w:color w:val="595959"/>
                <w:sz w:val="15"/>
              </w:rPr>
              <w:t>Reopening / Soft Landing probability 36.2% x theme exposure +0.0.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7.16%</w:t>
            </w:r>
          </w:p>
        </w:tc>
        <w:tc>
          <w:tcPr>
            <w:tcW w:type="dxa" w:w="1008"/>
            <w:vAlign w:val="top"/>
          </w:tcPr>
          <w:p>
            <w:pPr>
              <w:spacing w:after="20" w:line="240" w:lineRule="auto"/>
            </w:pPr>
            <w:r>
              <w:rPr>
                <w:rFonts w:ascii="Arial" w:hAnsi="Arial"/>
                <w:b w:val="0"/>
                <w:color w:val="375623"/>
                <w:sz w:val="15"/>
              </w:rPr>
              <w:t>+0.00</w:t>
            </w:r>
          </w:p>
        </w:tc>
        <w:tc>
          <w:tcPr>
            <w:tcW w:type="dxa" w:w="1080"/>
            <w:vAlign w:val="top"/>
          </w:tcPr>
          <w:p>
            <w:pPr>
              <w:spacing w:after="20" w:line="240" w:lineRule="auto"/>
            </w:pPr>
            <w:r>
              <w:rPr>
                <w:rFonts w:ascii="Arial" w:hAnsi="Arial"/>
                <w:b w:val="0"/>
                <w:color w:val="375623"/>
                <w:sz w:val="15"/>
              </w:rPr>
              <w:t>+0.00</w:t>
            </w:r>
          </w:p>
        </w:tc>
        <w:tc>
          <w:tcPr>
            <w:tcW w:type="dxa" w:w="8280"/>
            <w:vAlign w:val="top"/>
          </w:tcPr>
          <w:p>
            <w:pPr>
              <w:spacing w:after="20" w:line="240" w:lineRule="auto"/>
            </w:pPr>
            <w:r>
              <w:rPr>
                <w:rFonts w:ascii="Arial" w:hAnsi="Arial"/>
                <w:b w:val="0"/>
                <w:color w:val="595959"/>
                <w:sz w:val="15"/>
              </w:rPr>
              <w:t>AI Capex Rollover probability 7.2% x theme exposure +0.0.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+0.77</w:t>
            </w:r>
          </w:p>
        </w:tc>
        <w:tc>
          <w:tcPr>
            <w:tcW w:type="dxa" w:w="8280"/>
            <w:shd w:fill="F7F9FC"/>
            <w:vAlign w:val="top"/>
          </w:tcPr>
          <w:p>
            <w:pPr>
              <w:spacing w:after="20" w:line="240" w:lineRule="auto"/>
            </w:pPr>
            <w:r>
              <w:rPr>
                <w:rFonts w:ascii="Arial" w:hAnsi="Arial"/>
                <w:b w:val="0"/>
                <w:color w:val="595959"/>
                <w:sz w:val="15"/>
              </w:rPr>
              <w:t>Positive total +0.77; negative total +0.00.</w:t>
            </w:r>
          </w:p>
        </w:tc>
      </w:tr>
    </w:tbl>
    <w:p>
      <w:pPr>
        <w:spacing w:after="120"/>
      </w:pPr>
    </w:p>
    <w:p>
      <w:pPr>
        <w:spacing w:before="320" w:after="140"/>
      </w:pPr>
      <w:r>
        <w:rPr>
          <w:rFonts w:ascii="Arial" w:hAnsi="Arial"/>
          <w:b/>
          <w:color w:val="1F4E79"/>
          <w:sz w:val="28"/>
        </w:rPr>
        <w:t>Sector &amp; Instrument Rankings</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1080"/>
            <w:shd w:fill="1F4E79"/>
            <w:vAlign w:val="top"/>
          </w:tcPr>
          <w:p>
            <w:pPr>
              <w:spacing w:after="20" w:line="240" w:lineRule="auto"/>
            </w:pPr>
            <w:r>
              <w:rPr>
                <w:rFonts w:ascii="Arial" w:hAnsi="Arial"/>
                <w:b/>
                <w:color w:val="FFFFFF"/>
                <w:sz w:val="15"/>
              </w:rPr>
              <w:t>Ticker</w:t>
            </w:r>
          </w:p>
        </w:tc>
        <w:tc>
          <w:tcPr>
            <w:tcW w:type="dxa" w:w="792"/>
            <w:shd w:fill="1F4E79"/>
            <w:vAlign w:val="top"/>
          </w:tcPr>
          <w:p>
            <w:pPr>
              <w:spacing w:after="20" w:line="240" w:lineRule="auto"/>
            </w:pPr>
            <w:r>
              <w:rPr>
                <w:rFonts w:ascii="Arial" w:hAnsi="Arial"/>
                <w:b/>
                <w:color w:val="FFFFFF"/>
                <w:sz w:val="15"/>
              </w:rPr>
              <w:t>Score</w:t>
            </w:r>
          </w:p>
        </w:tc>
        <w:tc>
          <w:tcPr>
            <w:tcW w:type="dxa" w:w="5112"/>
            <w:shd w:fill="1F4E79"/>
            <w:vAlign w:val="top"/>
          </w:tcPr>
          <w:p>
            <w:pPr>
              <w:spacing w:after="20" w:line="240" w:lineRule="auto"/>
            </w:pPr>
            <w:r>
              <w:rPr>
                <w:rFonts w:ascii="Arial" w:hAnsi="Arial"/>
                <w:b/>
                <w:color w:val="FFFFFF"/>
                <w:sz w:val="15"/>
              </w:rPr>
              <w:t>Top Drivers</w:t>
            </w:r>
          </w:p>
        </w:tc>
        <w:tc>
          <w:tcPr>
            <w:tcW w:type="dxa" w:w="6480"/>
            <w:shd w:fill="1F4E79"/>
            <w:vAlign w:val="top"/>
          </w:tcPr>
          <w:p>
            <w:pPr>
              <w:spacing w:after="20" w:line="240" w:lineRule="auto"/>
            </w:pPr>
            <w:r>
              <w:rPr>
                <w:rFonts w:ascii="Arial" w:hAnsi="Arial"/>
                <w:b/>
                <w:color w:val="FFFFFF"/>
                <w:sz w:val="15"/>
              </w:rPr>
              <w:t>Formula Notes</w:t>
            </w:r>
          </w:p>
        </w:tc>
      </w:tr>
      <w:tr>
        <w:tc>
          <w:tcPr>
            <w:tcW w:type="dxa" w:w="504"/>
            <w:vAlign w:val="top"/>
          </w:tcPr>
          <w:p>
            <w:pPr>
              <w:spacing w:after="20" w:line="240" w:lineRule="auto"/>
            </w:pPr>
            <w:r>
              <w:rPr>
                <w:rFonts w:ascii="Arial" w:hAnsi="Arial"/>
                <w:b w:val="0"/>
                <w:color w:val="595959"/>
                <w:sz w:val="15"/>
              </w:rPr>
              <w:t>1</w:t>
            </w:r>
          </w:p>
        </w:tc>
        <w:tc>
          <w:tcPr>
            <w:tcW w:type="dxa" w:w="1080"/>
            <w:vAlign w:val="top"/>
          </w:tcPr>
          <w:p>
            <w:pPr>
              <w:spacing w:after="20" w:line="240" w:lineRule="auto"/>
            </w:pPr>
            <w:r>
              <w:rPr>
                <w:rFonts w:ascii="Arial" w:hAnsi="Arial"/>
                <w:b w:val="0"/>
                <w:color w:val="595959"/>
                <w:sz w:val="15"/>
              </w:rPr>
              <w:t>XLU</w:t>
            </w:r>
          </w:p>
        </w:tc>
        <w:tc>
          <w:tcPr>
            <w:tcW w:type="dxa" w:w="792"/>
            <w:vAlign w:val="top"/>
          </w:tcPr>
          <w:p>
            <w:pPr>
              <w:spacing w:after="20" w:line="240" w:lineRule="auto"/>
            </w:pPr>
            <w:r>
              <w:rPr>
                <w:rFonts w:ascii="Arial" w:hAnsi="Arial"/>
                <w:b w:val="0"/>
                <w:color w:val="375623"/>
                <w:sz w:val="15"/>
              </w:rPr>
              <w:t>+1.48</w:t>
            </w:r>
          </w:p>
        </w:tc>
        <w:tc>
          <w:tcPr>
            <w:tcW w:type="dxa" w:w="5112"/>
            <w:vAlign w:val="top"/>
          </w:tcPr>
          <w:p>
            <w:pPr>
              <w:spacing w:after="20" w:line="240" w:lineRule="auto"/>
            </w:pPr>
            <w:r>
              <w:rPr>
                <w:rFonts w:ascii="Arial" w:hAnsi="Arial"/>
                <w:b w:val="0"/>
                <w:color w:val="595959"/>
                <w:sz w:val="15"/>
              </w:rPr>
              <w:t>Grid and power infrastructure +1.03, Quality ex-AI cash flow +0.31, Cash and short duration +0.14</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2</w:t>
            </w:r>
          </w:p>
        </w:tc>
        <w:tc>
          <w:tcPr>
            <w:tcW w:type="dxa" w:w="1080"/>
            <w:shd w:fill="F7F9FC"/>
            <w:vAlign w:val="top"/>
          </w:tcPr>
          <w:p>
            <w:pPr>
              <w:spacing w:after="20" w:line="240" w:lineRule="auto"/>
            </w:pPr>
            <w:r>
              <w:rPr>
                <w:rFonts w:ascii="Arial" w:hAnsi="Arial"/>
                <w:b w:val="0"/>
                <w:color w:val="595959"/>
                <w:sz w:val="15"/>
              </w:rPr>
              <w:t>XLI</w:t>
            </w:r>
          </w:p>
        </w:tc>
        <w:tc>
          <w:tcPr>
            <w:tcW w:type="dxa" w:w="792"/>
            <w:shd w:fill="F7F9FC"/>
            <w:vAlign w:val="top"/>
          </w:tcPr>
          <w:p>
            <w:pPr>
              <w:spacing w:after="20" w:line="240" w:lineRule="auto"/>
            </w:pPr>
            <w:r>
              <w:rPr>
                <w:rFonts w:ascii="Arial" w:hAnsi="Arial"/>
                <w:b w:val="0"/>
                <w:color w:val="375623"/>
                <w:sz w:val="15"/>
              </w:rPr>
              <w:t>+1.35</w:t>
            </w:r>
          </w:p>
        </w:tc>
        <w:tc>
          <w:tcPr>
            <w:tcW w:type="dxa" w:w="5112"/>
            <w:shd w:fill="F7F9FC"/>
            <w:vAlign w:val="top"/>
          </w:tcPr>
          <w:p>
            <w:pPr>
              <w:spacing w:after="20" w:line="240" w:lineRule="auto"/>
            </w:pPr>
            <w:r>
              <w:rPr>
                <w:rFonts w:ascii="Arial" w:hAnsi="Arial"/>
                <w:b w:val="0"/>
                <w:color w:val="595959"/>
                <w:sz w:val="15"/>
              </w:rPr>
              <w:t>Grid and power infrastructure +0.87, Quality ex-AI cash flow +0.31, Defense and geopolitics +0.17</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3</w:t>
            </w:r>
          </w:p>
        </w:tc>
        <w:tc>
          <w:tcPr>
            <w:tcW w:type="dxa" w:w="1080"/>
            <w:vAlign w:val="top"/>
          </w:tcPr>
          <w:p>
            <w:pPr>
              <w:spacing w:after="20" w:line="240" w:lineRule="auto"/>
            </w:pPr>
            <w:r>
              <w:rPr>
                <w:rFonts w:ascii="Arial" w:hAnsi="Arial"/>
                <w:b w:val="0"/>
                <w:color w:val="595959"/>
                <w:sz w:val="15"/>
              </w:rPr>
              <w:t>SHY</w:t>
            </w:r>
          </w:p>
        </w:tc>
        <w:tc>
          <w:tcPr>
            <w:tcW w:type="dxa" w:w="792"/>
            <w:vAlign w:val="top"/>
          </w:tcPr>
          <w:p>
            <w:pPr>
              <w:spacing w:after="20" w:line="240" w:lineRule="auto"/>
            </w:pPr>
            <w:r>
              <w:rPr>
                <w:rFonts w:ascii="Arial" w:hAnsi="Arial"/>
                <w:b w:val="0"/>
                <w:color w:val="375623"/>
                <w:sz w:val="15"/>
              </w:rPr>
              <w:t>+0.97</w:t>
            </w:r>
          </w:p>
        </w:tc>
        <w:tc>
          <w:tcPr>
            <w:tcW w:type="dxa" w:w="5112"/>
            <w:vAlign w:val="top"/>
          </w:tcPr>
          <w:p>
            <w:pPr>
              <w:spacing w:after="20" w:line="240" w:lineRule="auto"/>
            </w:pPr>
            <w:r>
              <w:rPr>
                <w:rFonts w:ascii="Arial" w:hAnsi="Arial"/>
                <w:b w:val="0"/>
                <w:color w:val="595959"/>
                <w:sz w:val="15"/>
              </w:rPr>
              <w:t>Cash and short duration +0.97</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4</w:t>
            </w:r>
          </w:p>
        </w:tc>
        <w:tc>
          <w:tcPr>
            <w:tcW w:type="dxa" w:w="1080"/>
            <w:shd w:fill="F7F9FC"/>
            <w:vAlign w:val="top"/>
          </w:tcPr>
          <w:p>
            <w:pPr>
              <w:spacing w:after="20" w:line="240" w:lineRule="auto"/>
            </w:pPr>
            <w:r>
              <w:rPr>
                <w:rFonts w:ascii="Arial" w:hAnsi="Arial"/>
                <w:b w:val="0"/>
                <w:color w:val="595959"/>
                <w:sz w:val="15"/>
              </w:rPr>
              <w:t>XLV</w:t>
            </w:r>
          </w:p>
        </w:tc>
        <w:tc>
          <w:tcPr>
            <w:tcW w:type="dxa" w:w="792"/>
            <w:shd w:fill="F7F9FC"/>
            <w:vAlign w:val="top"/>
          </w:tcPr>
          <w:p>
            <w:pPr>
              <w:spacing w:after="20" w:line="240" w:lineRule="auto"/>
            </w:pPr>
            <w:r>
              <w:rPr>
                <w:rFonts w:ascii="Arial" w:hAnsi="Arial"/>
                <w:b w:val="0"/>
                <w:color w:val="375623"/>
                <w:sz w:val="15"/>
              </w:rPr>
              <w:t>+0.95</w:t>
            </w:r>
          </w:p>
        </w:tc>
        <w:tc>
          <w:tcPr>
            <w:tcW w:type="dxa" w:w="5112"/>
            <w:shd w:fill="F7F9FC"/>
            <w:vAlign w:val="top"/>
          </w:tcPr>
          <w:p>
            <w:pPr>
              <w:spacing w:after="20" w:line="240" w:lineRule="auto"/>
            </w:pPr>
            <w:r>
              <w:rPr>
                <w:rFonts w:ascii="Arial" w:hAnsi="Arial"/>
                <w:b w:val="0"/>
                <w:color w:val="595959"/>
                <w:sz w:val="15"/>
              </w:rPr>
              <w:t>Healthcare defensives +0.57, Quality ex-AI cash flow +0.38</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5</w:t>
            </w:r>
          </w:p>
        </w:tc>
        <w:tc>
          <w:tcPr>
            <w:tcW w:type="dxa" w:w="1080"/>
            <w:vAlign w:val="top"/>
          </w:tcPr>
          <w:p>
            <w:pPr>
              <w:spacing w:after="20" w:line="240" w:lineRule="auto"/>
            </w:pPr>
            <w:r>
              <w:rPr>
                <w:rFonts w:ascii="Arial" w:hAnsi="Arial"/>
                <w:b w:val="0"/>
                <w:color w:val="595959"/>
                <w:sz w:val="15"/>
              </w:rPr>
              <w:t>DBC</w:t>
            </w:r>
          </w:p>
        </w:tc>
        <w:tc>
          <w:tcPr>
            <w:tcW w:type="dxa" w:w="792"/>
            <w:vAlign w:val="top"/>
          </w:tcPr>
          <w:p>
            <w:pPr>
              <w:spacing w:after="20" w:line="240" w:lineRule="auto"/>
            </w:pPr>
            <w:r>
              <w:rPr>
                <w:rFonts w:ascii="Arial" w:hAnsi="Arial"/>
                <w:b w:val="0"/>
                <w:color w:val="375623"/>
                <w:sz w:val="15"/>
              </w:rPr>
              <w:t>+0.59</w:t>
            </w:r>
          </w:p>
        </w:tc>
        <w:tc>
          <w:tcPr>
            <w:tcW w:type="dxa" w:w="5112"/>
            <w:vAlign w:val="top"/>
          </w:tcPr>
          <w:p>
            <w:pPr>
              <w:spacing w:after="20" w:line="240" w:lineRule="auto"/>
            </w:pPr>
            <w:r>
              <w:rPr>
                <w:rFonts w:ascii="Arial" w:hAnsi="Arial"/>
                <w:b w:val="0"/>
                <w:color w:val="595959"/>
                <w:sz w:val="15"/>
              </w:rPr>
              <w:t>Commodities and real assets +0.54, Energy and oil beta +0.05</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6</w:t>
            </w:r>
          </w:p>
        </w:tc>
        <w:tc>
          <w:tcPr>
            <w:tcW w:type="dxa" w:w="1080"/>
            <w:shd w:fill="F7F9FC"/>
            <w:vAlign w:val="top"/>
          </w:tcPr>
          <w:p>
            <w:pPr>
              <w:spacing w:after="20" w:line="240" w:lineRule="auto"/>
            </w:pPr>
            <w:r>
              <w:rPr>
                <w:rFonts w:ascii="Arial" w:hAnsi="Arial"/>
                <w:b w:val="0"/>
                <w:color w:val="595959"/>
                <w:sz w:val="15"/>
              </w:rPr>
              <w:t>XLK</w:t>
            </w:r>
          </w:p>
        </w:tc>
        <w:tc>
          <w:tcPr>
            <w:tcW w:type="dxa" w:w="792"/>
            <w:shd w:fill="F7F9FC"/>
            <w:vAlign w:val="top"/>
          </w:tcPr>
          <w:p>
            <w:pPr>
              <w:spacing w:after="20" w:line="240" w:lineRule="auto"/>
            </w:pPr>
            <w:r>
              <w:rPr>
                <w:rFonts w:ascii="Arial" w:hAnsi="Arial"/>
                <w:b w:val="0"/>
                <w:color w:val="375623"/>
                <w:sz w:val="15"/>
              </w:rPr>
              <w:t>+0.44</w:t>
            </w:r>
          </w:p>
        </w:tc>
        <w:tc>
          <w:tcPr>
            <w:tcW w:type="dxa" w:w="5112"/>
            <w:shd w:fill="F7F9FC"/>
            <w:vAlign w:val="top"/>
          </w:tcPr>
          <w:p>
            <w:pPr>
              <w:spacing w:after="20" w:line="240" w:lineRule="auto"/>
            </w:pPr>
            <w:r>
              <w:rPr>
                <w:rFonts w:ascii="Arial" w:hAnsi="Arial"/>
                <w:b w:val="0"/>
                <w:color w:val="595959"/>
                <w:sz w:val="15"/>
              </w:rPr>
              <w:t>Quality AI leaders +0.46, Memory semiconductors +0.03, Long-duration growth -0.03</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7</w:t>
            </w:r>
          </w:p>
        </w:tc>
        <w:tc>
          <w:tcPr>
            <w:tcW w:type="dxa" w:w="1080"/>
            <w:vAlign w:val="top"/>
          </w:tcPr>
          <w:p>
            <w:pPr>
              <w:spacing w:after="20" w:line="240" w:lineRule="auto"/>
            </w:pPr>
            <w:r>
              <w:rPr>
                <w:rFonts w:ascii="Arial" w:hAnsi="Arial"/>
                <w:b w:val="0"/>
                <w:color w:val="595959"/>
                <w:sz w:val="15"/>
              </w:rPr>
              <w:t>XLE</w:t>
            </w:r>
          </w:p>
        </w:tc>
        <w:tc>
          <w:tcPr>
            <w:tcW w:type="dxa" w:w="792"/>
            <w:vAlign w:val="top"/>
          </w:tcPr>
          <w:p>
            <w:pPr>
              <w:spacing w:after="20" w:line="240" w:lineRule="auto"/>
            </w:pPr>
            <w:r>
              <w:rPr>
                <w:rFonts w:ascii="Arial" w:hAnsi="Arial"/>
                <w:b w:val="0"/>
                <w:color w:val="375623"/>
                <w:sz w:val="15"/>
              </w:rPr>
              <w:t>+0.32</w:t>
            </w:r>
          </w:p>
        </w:tc>
        <w:tc>
          <w:tcPr>
            <w:tcW w:type="dxa" w:w="5112"/>
            <w:vAlign w:val="top"/>
          </w:tcPr>
          <w:p>
            <w:pPr>
              <w:spacing w:after="20" w:line="240" w:lineRule="auto"/>
            </w:pPr>
            <w:r>
              <w:rPr>
                <w:rFonts w:ascii="Arial" w:hAnsi="Arial"/>
                <w:b w:val="0"/>
                <w:color w:val="595959"/>
                <w:sz w:val="15"/>
              </w:rPr>
              <w:t>Commodities and real assets +0.19, Energy and oil beta +0.12</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8</w:t>
            </w:r>
          </w:p>
        </w:tc>
        <w:tc>
          <w:tcPr>
            <w:tcW w:type="dxa" w:w="1080"/>
            <w:shd w:fill="F7F9FC"/>
            <w:vAlign w:val="top"/>
          </w:tcPr>
          <w:p>
            <w:pPr>
              <w:spacing w:after="20" w:line="240" w:lineRule="auto"/>
            </w:pPr>
            <w:r>
              <w:rPr>
                <w:rFonts w:ascii="Arial" w:hAnsi="Arial"/>
                <w:b w:val="0"/>
                <w:color w:val="595959"/>
                <w:sz w:val="15"/>
              </w:rPr>
              <w:t>SMH</w:t>
            </w:r>
          </w:p>
        </w:tc>
        <w:tc>
          <w:tcPr>
            <w:tcW w:type="dxa" w:w="792"/>
            <w:shd w:fill="F7F9FC"/>
            <w:vAlign w:val="top"/>
          </w:tcPr>
          <w:p>
            <w:pPr>
              <w:spacing w:after="20" w:line="240" w:lineRule="auto"/>
            </w:pPr>
            <w:r>
              <w:rPr>
                <w:rFonts w:ascii="Arial" w:hAnsi="Arial"/>
                <w:b w:val="0"/>
                <w:color w:val="375623"/>
                <w:sz w:val="15"/>
              </w:rPr>
              <w:t>+0.25</w:t>
            </w:r>
          </w:p>
        </w:tc>
        <w:tc>
          <w:tcPr>
            <w:tcW w:type="dxa" w:w="5112"/>
            <w:shd w:fill="F7F9FC"/>
            <w:vAlign w:val="top"/>
          </w:tcPr>
          <w:p>
            <w:pPr>
              <w:spacing w:after="20" w:line="240" w:lineRule="auto"/>
            </w:pPr>
            <w:r>
              <w:rPr>
                <w:rFonts w:ascii="Arial" w:hAnsi="Arial"/>
                <w:b w:val="0"/>
                <w:color w:val="595959"/>
                <w:sz w:val="15"/>
              </w:rPr>
              <w:t>Quality AI leaders +0.25, High-beta AI semiconductors -0.05, Memory semiconductors +0.04</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9</w:t>
            </w:r>
          </w:p>
        </w:tc>
        <w:tc>
          <w:tcPr>
            <w:tcW w:type="dxa" w:w="1080"/>
            <w:vAlign w:val="top"/>
          </w:tcPr>
          <w:p>
            <w:pPr>
              <w:spacing w:after="20" w:line="240" w:lineRule="auto"/>
            </w:pPr>
            <w:r>
              <w:rPr>
                <w:rFonts w:ascii="Arial" w:hAnsi="Arial"/>
                <w:b w:val="0"/>
                <w:color w:val="595959"/>
                <w:sz w:val="15"/>
              </w:rPr>
              <w:t>IWM</w:t>
            </w:r>
          </w:p>
        </w:tc>
        <w:tc>
          <w:tcPr>
            <w:tcW w:type="dxa" w:w="792"/>
            <w:vAlign w:val="top"/>
          </w:tcPr>
          <w:p>
            <w:pPr>
              <w:spacing w:after="20" w:line="240" w:lineRule="auto"/>
            </w:pPr>
            <w:r>
              <w:rPr>
                <w:rFonts w:ascii="Arial" w:hAnsi="Arial"/>
                <w:b w:val="0"/>
                <w:color w:val="C00000"/>
                <w:sz w:val="15"/>
              </w:rPr>
              <w:t>-0.48</w:t>
            </w:r>
          </w:p>
        </w:tc>
        <w:tc>
          <w:tcPr>
            <w:tcW w:type="dxa" w:w="5112"/>
            <w:vAlign w:val="top"/>
          </w:tcPr>
          <w:p>
            <w:pPr>
              <w:spacing w:after="20" w:line="240" w:lineRule="auto"/>
            </w:pPr>
            <w:r>
              <w:rPr>
                <w:rFonts w:ascii="Arial" w:hAnsi="Arial"/>
                <w:b w:val="0"/>
                <w:color w:val="595959"/>
                <w:sz w:val="15"/>
              </w:rPr>
              <w:t>Small caps -0.45, Long-duration growth -0.03</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bl>
    <w:p>
      <w:pPr>
        <w:spacing w:after="120"/>
      </w:pPr>
    </w:p>
    <w:p>
      <w:pPr>
        <w:spacing w:before="320" w:after="140"/>
      </w:pPr>
      <w:r>
        <w:rPr>
          <w:rFonts w:ascii="Arial" w:hAnsi="Arial"/>
          <w:b/>
          <w:color w:val="1F4E79"/>
          <w:sz w:val="28"/>
        </w:rPr>
        <w:t>Factor Rankings</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1512"/>
            <w:shd w:fill="1F4E79"/>
            <w:vAlign w:val="top"/>
          </w:tcPr>
          <w:p>
            <w:pPr>
              <w:spacing w:after="20" w:line="240" w:lineRule="auto"/>
            </w:pPr>
            <w:r>
              <w:rPr>
                <w:rFonts w:ascii="Arial" w:hAnsi="Arial"/>
                <w:b/>
                <w:color w:val="FFFFFF"/>
                <w:sz w:val="15"/>
              </w:rPr>
              <w:t>Factor</w:t>
            </w:r>
          </w:p>
        </w:tc>
        <w:tc>
          <w:tcPr>
            <w:tcW w:type="dxa" w:w="792"/>
            <w:shd w:fill="1F4E79"/>
            <w:vAlign w:val="top"/>
          </w:tcPr>
          <w:p>
            <w:pPr>
              <w:spacing w:after="20" w:line="240" w:lineRule="auto"/>
            </w:pPr>
            <w:r>
              <w:rPr>
                <w:rFonts w:ascii="Arial" w:hAnsi="Arial"/>
                <w:b/>
                <w:color w:val="FFFFFF"/>
                <w:sz w:val="15"/>
              </w:rPr>
              <w:t>Score</w:t>
            </w:r>
          </w:p>
        </w:tc>
        <w:tc>
          <w:tcPr>
            <w:tcW w:type="dxa" w:w="4824"/>
            <w:shd w:fill="1F4E79"/>
            <w:vAlign w:val="top"/>
          </w:tcPr>
          <w:p>
            <w:pPr>
              <w:spacing w:after="20" w:line="240" w:lineRule="auto"/>
            </w:pPr>
            <w:r>
              <w:rPr>
                <w:rFonts w:ascii="Arial" w:hAnsi="Arial"/>
                <w:b/>
                <w:color w:val="FFFFFF"/>
                <w:sz w:val="15"/>
              </w:rPr>
              <w:t>Top Drivers</w:t>
            </w:r>
          </w:p>
        </w:tc>
        <w:tc>
          <w:tcPr>
            <w:tcW w:type="dxa" w:w="6048"/>
            <w:shd w:fill="1F4E79"/>
            <w:vAlign w:val="top"/>
          </w:tcPr>
          <w:p>
            <w:pPr>
              <w:spacing w:after="20" w:line="240" w:lineRule="auto"/>
            </w:pPr>
            <w:r>
              <w:rPr>
                <w:rFonts w:ascii="Arial" w:hAnsi="Arial"/>
                <w:b/>
                <w:color w:val="FFFFFF"/>
                <w:sz w:val="15"/>
              </w:rPr>
              <w:t>Formula Notes</w:t>
            </w:r>
          </w:p>
        </w:tc>
      </w:tr>
      <w:tr>
        <w:tc>
          <w:tcPr>
            <w:tcW w:type="dxa" w:w="504"/>
            <w:vAlign w:val="top"/>
          </w:tcPr>
          <w:p>
            <w:pPr>
              <w:spacing w:after="20" w:line="240" w:lineRule="auto"/>
            </w:pPr>
            <w:r>
              <w:rPr>
                <w:rFonts w:ascii="Arial" w:hAnsi="Arial"/>
                <w:b w:val="0"/>
                <w:color w:val="595959"/>
                <w:sz w:val="15"/>
              </w:rPr>
              <w:t>1</w:t>
            </w:r>
          </w:p>
        </w:tc>
        <w:tc>
          <w:tcPr>
            <w:tcW w:type="dxa" w:w="1512"/>
            <w:vAlign w:val="top"/>
          </w:tcPr>
          <w:p>
            <w:pPr>
              <w:spacing w:after="20" w:line="240" w:lineRule="auto"/>
            </w:pPr>
            <w:r>
              <w:rPr>
                <w:rFonts w:ascii="Arial" w:hAnsi="Arial"/>
                <w:b w:val="0"/>
                <w:color w:val="595959"/>
                <w:sz w:val="15"/>
              </w:rPr>
              <w:t>Quality</w:t>
            </w:r>
          </w:p>
        </w:tc>
        <w:tc>
          <w:tcPr>
            <w:tcW w:type="dxa" w:w="792"/>
            <w:vAlign w:val="top"/>
          </w:tcPr>
          <w:p>
            <w:pPr>
              <w:spacing w:after="20" w:line="240" w:lineRule="auto"/>
            </w:pPr>
            <w:r>
              <w:rPr>
                <w:rFonts w:ascii="Arial" w:hAnsi="Arial"/>
                <w:b w:val="0"/>
                <w:color w:val="375623"/>
                <w:sz w:val="15"/>
              </w:rPr>
              <w:t>+1.12</w:t>
            </w:r>
          </w:p>
        </w:tc>
        <w:tc>
          <w:tcPr>
            <w:tcW w:type="dxa" w:w="4824"/>
            <w:vAlign w:val="top"/>
          </w:tcPr>
          <w:p>
            <w:pPr>
              <w:spacing w:after="20" w:line="240" w:lineRule="auto"/>
            </w:pPr>
            <w:r>
              <w:rPr>
                <w:rFonts w:ascii="Arial" w:hAnsi="Arial"/>
                <w:b w:val="0"/>
                <w:color w:val="595959"/>
                <w:sz w:val="15"/>
              </w:rPr>
              <w:t>Quality ex-AI cash flow +0.54, Quality AI leaders +0.36, Healthcare defensives +0.23</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2</w:t>
            </w:r>
          </w:p>
        </w:tc>
        <w:tc>
          <w:tcPr>
            <w:tcW w:type="dxa" w:w="1512"/>
            <w:shd w:fill="F7F9FC"/>
            <w:vAlign w:val="top"/>
          </w:tcPr>
          <w:p>
            <w:pPr>
              <w:spacing w:after="20" w:line="240" w:lineRule="auto"/>
            </w:pPr>
            <w:r>
              <w:rPr>
                <w:rFonts w:ascii="Arial" w:hAnsi="Arial"/>
                <w:b w:val="0"/>
                <w:color w:val="595959"/>
                <w:sz w:val="15"/>
              </w:rPr>
              <w:t>Defensive factor</w:t>
            </w:r>
          </w:p>
        </w:tc>
        <w:tc>
          <w:tcPr>
            <w:tcW w:type="dxa" w:w="792"/>
            <w:shd w:fill="F7F9FC"/>
            <w:vAlign w:val="top"/>
          </w:tcPr>
          <w:p>
            <w:pPr>
              <w:spacing w:after="20" w:line="240" w:lineRule="auto"/>
            </w:pPr>
            <w:r>
              <w:rPr>
                <w:rFonts w:ascii="Arial" w:hAnsi="Arial"/>
                <w:b w:val="0"/>
                <w:color w:val="375623"/>
                <w:sz w:val="15"/>
              </w:rPr>
              <w:t>+0.99</w:t>
            </w:r>
          </w:p>
        </w:tc>
        <w:tc>
          <w:tcPr>
            <w:tcW w:type="dxa" w:w="4824"/>
            <w:shd w:fill="F7F9FC"/>
            <w:vAlign w:val="top"/>
          </w:tcPr>
          <w:p>
            <w:pPr>
              <w:spacing w:after="20" w:line="240" w:lineRule="auto"/>
            </w:pPr>
            <w:r>
              <w:rPr>
                <w:rFonts w:ascii="Arial" w:hAnsi="Arial"/>
                <w:b w:val="0"/>
                <w:color w:val="595959"/>
                <w:sz w:val="15"/>
              </w:rPr>
              <w:t>Healthcare defensives +0.34, Cash and short duration +0.34, Quality ex-AI cash flow +0.31</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3</w:t>
            </w:r>
          </w:p>
        </w:tc>
        <w:tc>
          <w:tcPr>
            <w:tcW w:type="dxa" w:w="1512"/>
            <w:vAlign w:val="top"/>
          </w:tcPr>
          <w:p>
            <w:pPr>
              <w:spacing w:after="20" w:line="240" w:lineRule="auto"/>
            </w:pPr>
            <w:r>
              <w:rPr>
                <w:rFonts w:ascii="Arial" w:hAnsi="Arial"/>
                <w:b w:val="0"/>
                <w:color w:val="595959"/>
                <w:sz w:val="15"/>
              </w:rPr>
              <w:t>Cash and carry</w:t>
            </w:r>
          </w:p>
        </w:tc>
        <w:tc>
          <w:tcPr>
            <w:tcW w:type="dxa" w:w="792"/>
            <w:vAlign w:val="top"/>
          </w:tcPr>
          <w:p>
            <w:pPr>
              <w:spacing w:after="20" w:line="240" w:lineRule="auto"/>
            </w:pPr>
            <w:r>
              <w:rPr>
                <w:rFonts w:ascii="Arial" w:hAnsi="Arial"/>
                <w:b w:val="0"/>
                <w:color w:val="375623"/>
                <w:sz w:val="15"/>
              </w:rPr>
              <w:t>+0.97</w:t>
            </w:r>
          </w:p>
        </w:tc>
        <w:tc>
          <w:tcPr>
            <w:tcW w:type="dxa" w:w="4824"/>
            <w:vAlign w:val="top"/>
          </w:tcPr>
          <w:p>
            <w:pPr>
              <w:spacing w:after="20" w:line="240" w:lineRule="auto"/>
            </w:pPr>
            <w:r>
              <w:rPr>
                <w:rFonts w:ascii="Arial" w:hAnsi="Arial"/>
                <w:b w:val="0"/>
                <w:color w:val="595959"/>
                <w:sz w:val="15"/>
              </w:rPr>
              <w:t>Cash and short duration +0.97</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4</w:t>
            </w:r>
          </w:p>
        </w:tc>
        <w:tc>
          <w:tcPr>
            <w:tcW w:type="dxa" w:w="1512"/>
            <w:shd w:fill="F7F9FC"/>
            <w:vAlign w:val="top"/>
          </w:tcPr>
          <w:p>
            <w:pPr>
              <w:spacing w:after="20" w:line="240" w:lineRule="auto"/>
            </w:pPr>
            <w:r>
              <w:rPr>
                <w:rFonts w:ascii="Arial" w:hAnsi="Arial"/>
                <w:b w:val="0"/>
                <w:color w:val="595959"/>
                <w:sz w:val="15"/>
              </w:rPr>
              <w:t>Commodity beta</w:t>
            </w:r>
          </w:p>
        </w:tc>
        <w:tc>
          <w:tcPr>
            <w:tcW w:type="dxa" w:w="792"/>
            <w:shd w:fill="F7F9FC"/>
            <w:vAlign w:val="top"/>
          </w:tcPr>
          <w:p>
            <w:pPr>
              <w:spacing w:after="20" w:line="240" w:lineRule="auto"/>
            </w:pPr>
            <w:r>
              <w:rPr>
                <w:rFonts w:ascii="Arial" w:hAnsi="Arial"/>
                <w:b w:val="0"/>
                <w:color w:val="375623"/>
                <w:sz w:val="15"/>
              </w:rPr>
              <w:t>+0.50</w:t>
            </w:r>
          </w:p>
        </w:tc>
        <w:tc>
          <w:tcPr>
            <w:tcW w:type="dxa" w:w="4824"/>
            <w:shd w:fill="F7F9FC"/>
            <w:vAlign w:val="top"/>
          </w:tcPr>
          <w:p>
            <w:pPr>
              <w:spacing w:after="20" w:line="240" w:lineRule="auto"/>
            </w:pPr>
            <w:r>
              <w:rPr>
                <w:rFonts w:ascii="Arial" w:hAnsi="Arial"/>
                <w:b w:val="0"/>
                <w:color w:val="595959"/>
                <w:sz w:val="15"/>
              </w:rPr>
              <w:t>Commodities and real assets +0.42, Energy and oil beta +0.07</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5</w:t>
            </w:r>
          </w:p>
        </w:tc>
        <w:tc>
          <w:tcPr>
            <w:tcW w:type="dxa" w:w="1512"/>
            <w:vAlign w:val="top"/>
          </w:tcPr>
          <w:p>
            <w:pPr>
              <w:spacing w:after="20" w:line="240" w:lineRule="auto"/>
            </w:pPr>
            <w:r>
              <w:rPr>
                <w:rFonts w:ascii="Arial" w:hAnsi="Arial"/>
                <w:b w:val="0"/>
                <w:color w:val="595959"/>
                <w:sz w:val="15"/>
              </w:rPr>
              <w:t>High beta growth</w:t>
            </w:r>
          </w:p>
        </w:tc>
        <w:tc>
          <w:tcPr>
            <w:tcW w:type="dxa" w:w="792"/>
            <w:vAlign w:val="top"/>
          </w:tcPr>
          <w:p>
            <w:pPr>
              <w:spacing w:after="20" w:line="240" w:lineRule="auto"/>
            </w:pPr>
            <w:r>
              <w:rPr>
                <w:rFonts w:ascii="Arial" w:hAnsi="Arial"/>
                <w:b w:val="0"/>
                <w:color w:val="C00000"/>
                <w:sz w:val="15"/>
              </w:rPr>
              <w:t>-0.10</w:t>
            </w:r>
          </w:p>
        </w:tc>
        <w:tc>
          <w:tcPr>
            <w:tcW w:type="dxa" w:w="4824"/>
            <w:vAlign w:val="top"/>
          </w:tcPr>
          <w:p>
            <w:pPr>
              <w:spacing w:after="20" w:line="240" w:lineRule="auto"/>
            </w:pPr>
            <w:r>
              <w:rPr>
                <w:rFonts w:ascii="Arial" w:hAnsi="Arial"/>
                <w:b w:val="0"/>
                <w:color w:val="595959"/>
                <w:sz w:val="15"/>
              </w:rPr>
              <w:t>Small caps -0.08, Memory semiconductors +0.05, Long-duration growth -0.04</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6</w:t>
            </w:r>
          </w:p>
        </w:tc>
        <w:tc>
          <w:tcPr>
            <w:tcW w:type="dxa" w:w="1512"/>
            <w:shd w:fill="F7F9FC"/>
            <w:vAlign w:val="top"/>
          </w:tcPr>
          <w:p>
            <w:pPr>
              <w:spacing w:after="20" w:line="240" w:lineRule="auto"/>
            </w:pPr>
            <w:r>
              <w:rPr>
                <w:rFonts w:ascii="Arial" w:hAnsi="Arial"/>
                <w:b w:val="0"/>
                <w:color w:val="595959"/>
                <w:sz w:val="15"/>
              </w:rPr>
              <w:t>Duration sensitivity</w:t>
            </w:r>
          </w:p>
        </w:tc>
        <w:tc>
          <w:tcPr>
            <w:tcW w:type="dxa" w:w="792"/>
            <w:shd w:fill="F7F9FC"/>
            <w:vAlign w:val="top"/>
          </w:tcPr>
          <w:p>
            <w:pPr>
              <w:spacing w:after="20" w:line="240" w:lineRule="auto"/>
            </w:pPr>
            <w:r>
              <w:rPr>
                <w:rFonts w:ascii="Arial" w:hAnsi="Arial"/>
                <w:b w:val="0"/>
                <w:color w:val="C00000"/>
                <w:sz w:val="15"/>
              </w:rPr>
              <w:t>-0.29</w:t>
            </w:r>
          </w:p>
        </w:tc>
        <w:tc>
          <w:tcPr>
            <w:tcW w:type="dxa" w:w="4824"/>
            <w:shd w:fill="F7F9FC"/>
            <w:vAlign w:val="top"/>
          </w:tcPr>
          <w:p>
            <w:pPr>
              <w:spacing w:after="20" w:line="240" w:lineRule="auto"/>
            </w:pPr>
            <w:r>
              <w:rPr>
                <w:rFonts w:ascii="Arial" w:hAnsi="Arial"/>
                <w:b w:val="0"/>
                <w:color w:val="595959"/>
                <w:sz w:val="15"/>
              </w:rPr>
              <w:t>Small caps -0.17, Long-duration growth -0.12</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7</w:t>
            </w:r>
          </w:p>
        </w:tc>
        <w:tc>
          <w:tcPr>
            <w:tcW w:type="dxa" w:w="1512"/>
            <w:vAlign w:val="top"/>
          </w:tcPr>
          <w:p>
            <w:pPr>
              <w:spacing w:after="20" w:line="240" w:lineRule="auto"/>
            </w:pPr>
            <w:r>
              <w:rPr>
                <w:rFonts w:ascii="Arial" w:hAnsi="Arial"/>
                <w:b w:val="0"/>
                <w:color w:val="595959"/>
                <w:sz w:val="15"/>
              </w:rPr>
              <w:t>Small-cap beta</w:t>
            </w:r>
          </w:p>
        </w:tc>
        <w:tc>
          <w:tcPr>
            <w:tcW w:type="dxa" w:w="792"/>
            <w:vAlign w:val="top"/>
          </w:tcPr>
          <w:p>
            <w:pPr>
              <w:spacing w:after="20" w:line="240" w:lineRule="auto"/>
            </w:pPr>
            <w:r>
              <w:rPr>
                <w:rFonts w:ascii="Arial" w:hAnsi="Arial"/>
                <w:b w:val="0"/>
                <w:color w:val="C00000"/>
                <w:sz w:val="15"/>
              </w:rPr>
              <w:t>-0.56</w:t>
            </w:r>
          </w:p>
        </w:tc>
        <w:tc>
          <w:tcPr>
            <w:tcW w:type="dxa" w:w="4824"/>
            <w:vAlign w:val="top"/>
          </w:tcPr>
          <w:p>
            <w:pPr>
              <w:spacing w:after="20" w:line="240" w:lineRule="auto"/>
            </w:pPr>
            <w:r>
              <w:rPr>
                <w:rFonts w:ascii="Arial" w:hAnsi="Arial"/>
                <w:b w:val="0"/>
                <w:color w:val="595959"/>
                <w:sz w:val="15"/>
              </w:rPr>
              <w:t>Small caps -0.56</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bl>
    <w:p>
      <w:pPr>
        <w:spacing w:after="120"/>
      </w:pPr>
    </w:p>
    <w:p>
      <w:pPr>
        <w:spacing w:before="320" w:after="140"/>
      </w:pPr>
      <w:r>
        <w:rPr>
          <w:rFonts w:ascii="Arial" w:hAnsi="Arial"/>
          <w:b/>
          <w:color w:val="1F4E79"/>
          <w:sz w:val="28"/>
        </w:rPr>
        <w:t>Probability Shifters / Watchlist</w:t>
      </w:r>
    </w:p>
    <w:p>
      <w:pPr>
        <w:spacing w:before="180" w:after="80"/>
      </w:pPr>
      <w:r>
        <w:rPr>
          <w:rFonts w:ascii="Arial" w:hAnsi="Arial"/>
          <w:b/>
          <w:color w:val="2E75B6"/>
          <w:sz w:val="21"/>
        </w:rPr>
        <w:t>Reopening / Soft Landing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36.19%</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RSP begins outperforming SPY and small caps outperform.</w:t>
              <w:br/>
              <w:t>- Credit remains tight while Fed cut optionality rises.</w:t>
              <w:br/>
              <w:t>- Oil risk premium fades without growth deterioration.</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Breadth narrows further.</w:t>
              <w:br/>
              <w:t>- Fed hold/hike odds rise.</w:t>
              <w:br/>
              <w:t>- Inflation or oil reaccelerates.</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market_breadth, credit_conditions, fed_path, oil_reopening_optionality</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Sticky Late Cycle AI</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34.10%</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Breadth remains weak while AI earnings revisions stay positive.</w:t>
              <w:br/>
              <w:t>- Fed hold/hike odds remain elevated.</w:t>
              <w:br/>
              <w:t>- Credit stays contained and hyperscaler capex guidance remains resilient.</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Breadth broadens materially with equal-weight and small-cap leadership.</w:t>
              <w:br/>
              <w:t>- Fed cut probabilities rise.</w:t>
              <w:br/>
              <w:t>- AI capex guidance weakens or infrastructure leaders lose relative strength.</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market_breadth, fed_path, ai_earnings_resilience, hyperscaler_capex_falsifier_not_triggered</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Late Cycle Risk-Off</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12.28%</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HY spreads widen or credit-sensitive equities underperform.</w:t>
              <w:br/>
              <w:t>- VIX spikes while breadth deteriorates further.</w:t>
              <w:br/>
              <w:t>- Healthy credit signal breaks down.</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Credit stays tight.</w:t>
              <w:br/>
              <w:t>- Breadth improves and volatility remains contained.</w:t>
              <w:br/>
              <w:t>- Risk appetite broadens without inflation reacceleration.</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credit_conditions, market_breadth, volatility, positioning_hedging</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floor 5.0%</w:t>
            </w:r>
          </w:p>
        </w:tc>
      </w:tr>
    </w:tbl>
    <w:p>
      <w:pPr>
        <w:spacing w:after="120"/>
      </w:pPr>
    </w:p>
    <w:p>
      <w:pPr>
        <w:spacing w:before="180" w:after="80"/>
      </w:pPr>
      <w:r>
        <w:rPr>
          <w:rFonts w:ascii="Arial" w:hAnsi="Arial"/>
          <w:b/>
          <w:color w:val="2E75B6"/>
          <w:sz w:val="21"/>
        </w:rPr>
        <w:t>Oil Inflation 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10.26%</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Oil breaks higher or supply-risk headlines worsen.</w:t>
              <w:br/>
              <w:t>- Breakevens rise and Fed hike odds increase.</w:t>
              <w:br/>
              <w:t>- Energy leadership broadens beyond tactical hedges.</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Hormuz reopening is confirmed and oil risk premium compresses.</w:t>
              <w:br/>
              <w:t>- Breakevens roll over.</w:t>
              <w:br/>
              <w:t>- Fed hike odds fade.</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oil_reopening_optionality, fed_path, inflation_expectations, energy_oil_beta</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AI Capex Rollover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7.16%</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Hyperscaler capex guidance weakens.</w:t>
              <w:br/>
              <w:t>- AI earnings revisions turn negative.</w:t>
              <w:br/>
              <w:t>- Semis, grid, or power leaders lose relative strength.</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Capex guidance remains resilient.</w:t>
              <w:br/>
              <w:t>- AI infrastructure orders and backlogs strengthen.</w:t>
              <w:br/>
              <w:t>- Quality AI earnings revisions remain positive.</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hyperscaler_capex_falsifier_not_triggered, ai_earnings_resilience, quality_ai</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floor 7.5%</w:t>
            </w:r>
          </w:p>
        </w:tc>
      </w:tr>
    </w:tbl>
    <w:p>
      <w:pPr>
        <w:spacing w:after="120"/>
      </w:pPr>
    </w:p>
    <w:p>
      <w:pPr>
        <w:spacing w:before="320" w:after="140"/>
      </w:pPr>
      <w:r>
        <w:rPr>
          <w:rFonts w:ascii="Arial" w:hAnsi="Arial"/>
          <w:b/>
          <w:color w:val="1F4E79"/>
          <w:sz w:val="28"/>
        </w:rPr>
        <w:t>Recommended Research Priorities</w:t>
      </w:r>
    </w:p>
    <w:p>
      <w:pPr>
        <w:spacing w:before="180" w:after="80"/>
      </w:pPr>
      <w:r>
        <w:rPr>
          <w:rFonts w:ascii="Arial" w:hAnsi="Arial"/>
          <w:b/>
          <w:color w:val="2E75B6"/>
          <w:sz w:val="21"/>
        </w:rPr>
        <w:t>1. Second-order grid and power infrastructure beneficiaries with cross-scenario support</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Second-order grid and power infrastructure beneficiaries with cross-scenario support</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Macro support for grid and power infrastructure may create attractive research paths, but the edge depends on finding specific suppliers, service providers, or infrastructure names where ownership, valuation, revisions, and narrative maturity still leave room for upside.</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Grid/power ranks highly because it has positive macro support across Sticky Late Cycle AI, Reopening / Soft Landing, Oil Inflation Tail. Research should now test whether the best expressions are obvious AI-grid leaders or less-obvious second-order beneficiaries. Crowding, valuation, and narrative maturity should be evaluated downstream. Worst scenarios to underwrite: AI Capex Rollover, Late Cycle Risk-Off. Current regime: Sticky Late Cycle AI leads; top macro-supported themes are Grid and power infrastructure, Quality ex-AI cash flow, Cash and short duration.. Key drivers: AI earnings resilience, Breadth / participation, Credit conditions.</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names have direct but under-discussed data-center, grid, or power exposure?</w:t>
              <w:br/>
              <w:t>- Which names have positive estimate revision potential without extreme AI-infrastructure crowding?</w:t>
              <w:br/>
              <w:t>- Which names remain resilient if AI capex continues but rates stay restrictive?</w:t>
              <w:br/>
              <w:t>- Which names would fail if AI capex rollover probability rises?</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Grid and power infrastructure has a positive macro support score. | Static scenario/theme exposure score multiplied by updated scenario probabilities. | theme_id=grid_power_infrastructure, macro_support_score=1.583, top_scenario_contributions=sticky_late_cycle_ai=+1.023,reopening_soft_landing=+0.724,ai_capex_rollover=-0.143, best_scenarios=sticky_late_cycle_ai,reopening_soft_landing,oil_inflation_tail, worst_scenarios=ai_capex_rollover,late_cycle_risk_off, top_scenarios=reopening_soft_landing 47%, sticky_late_cycle_ai 31%, oil_inflation_tail 9%</w:t>
            </w:r>
          </w:p>
        </w:tc>
      </w:tr>
    </w:tbl>
    <w:p>
      <w:pPr>
        <w:spacing w:after="120"/>
      </w:pPr>
    </w:p>
    <w:p>
      <w:pPr>
        <w:spacing w:before="180" w:after="80"/>
      </w:pPr>
      <w:r>
        <w:rPr>
          <w:rFonts w:ascii="Arial" w:hAnsi="Arial"/>
          <w:b/>
          <w:color w:val="2E75B6"/>
          <w:sz w:val="21"/>
        </w:rPr>
        <w:t>2. Quality ex-AI cash-flow compounders with soft-landing and sticky-cycle resilience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Quality ex-AI cash-flow compounders with soft-landing and sticky-cycle resilience</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Macro support may favor high-ROIC cash-generative businesses outside explicit AI leadership, but the actionable edge depends on downstream proof of under-ownership, valuation support, and durable estimate revisions.</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Quality ex-AI ranks highly because it performs well across Sticky Late Cycle AI, Reopening / Soft Landing, Late Cycle Risk-Off. Downstream research should test whether specific names are genuinely under-owned, attractively valued, and supported by revisions. Current regime: Sticky Late Cycle AI leads; top macro-supported themes are Grid and power infrastructure, Quality ex-AI cash flow, Cash and short duration.. Key drivers: AI earnings resilience, Breadth / participation, Credit conditions.</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non-AI cash-flow compounders have positive estimate revision potential?</w:t>
              <w:br/>
              <w:t>- Where are balance-sheet quality and free-cash-flow durability mispriced versus AI-led scarcity names?</w:t>
              <w:br/>
              <w:t>- Which candidates still work if policy stays restrictive and broad beta remains uneven?</w:t>
              <w:br/>
              <w:t>- Which names have hidden cyclicality that would fail in a late-cycle risk-off scenario?</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Quality ex-AI cash flow has a positive macro support score. | Static scenario/theme exposure score multiplied by updated scenario probabilities. | theme_id=quality_ex_ai_cash_flow, macro_support_score=1.535, top_scenario_contributions=sticky_late_cycle_ai=+0.682,reopening_soft_landing=+0.362,late_cycle_risk_off=+0.246, best_scenarios=sticky_late_cycle_ai,reopening_soft_landing,late_cycle_risk_off, worst_scenarios=none, top_scenarios=reopening_soft_landing 47%, sticky_late_cycle_ai 31%, oil_inflation_tail 9%</w:t>
            </w:r>
          </w:p>
        </w:tc>
      </w:tr>
    </w:tbl>
    <w:p>
      <w:pPr>
        <w:spacing w:after="120"/>
      </w:pPr>
    </w:p>
    <w:p>
      <w:pPr>
        <w:spacing w:before="180" w:after="80"/>
      </w:pPr>
      <w:r>
        <w:rPr>
          <w:rFonts w:ascii="Arial" w:hAnsi="Arial"/>
          <w:b/>
          <w:color w:val="2E75B6"/>
          <w:sz w:val="21"/>
        </w:rPr>
        <w:t>3. Quality AI leaders with downside discipline under capex-rollover tails</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Quality AI leaders with downside discipline under capex-rollover tails</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AI leadership remains supported, but the highest-EV expressions may be quality leaders with estimate support and lower downside asymmetry rather than high-beta crowded semis.</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Quality AI ranks highly because AI earnings resilience supports Sticky Late Cycle AI, Reopening / Soft Landing. Downstream research should distinguish quality leaders with durable estimate support from crowded high-beta expressions. Current regime: Sticky Late Cycle AI leads; top macro-supported themes are Grid and power infrastructure, Quality ex-AI cash flow, Cash and short duration.. Key drivers: AI earnings resilience, Breadth / participation, Credit conditions.</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AI leaders have estimate support that is not solely multiple expansion?</w:t>
              <w:br/>
              <w:t>- Which names have the least downside asymmetry if capex rollover odds rise?</w:t>
              <w:br/>
              <w:t>- Where does valuation still leave room for positive revisions?</w:t>
              <w:br/>
              <w:t>- Which crowded AI expressions should be avoided despite positive macro fit?</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Quality AI leaders has a positive macro support score. | Static scenario/theme exposure score multiplied by updated scenario probabilities. | theme_id=quality_ai, macro_support_score=1.016, top_scenario_contributions=sticky_late_cycle_ai=+1.023,reopening_soft_landing=+0.362,ai_capex_rollover=-0.143, best_scenarios=sticky_late_cycle_ai,reopening_soft_landing, worst_scenarios=ai_capex_rollover,late_cycle_risk_off,oil_inflation_tail, top_scenarios=reopening_soft_landing 47%, sticky_late_cycle_ai 31%, oil_inflation_tail 9%</w:t>
            </w:r>
          </w:p>
        </w:tc>
      </w:tr>
    </w:tbl>
    <w:p>
      <w:pPr>
        <w:spacing w:after="120"/>
      </w:pPr>
    </w:p>
    <w:p>
      <w:pPr>
        <w:spacing w:before="320" w:after="140"/>
      </w:pPr>
      <w:r>
        <w:rPr>
          <w:rFonts w:ascii="Arial" w:hAnsi="Arial"/>
          <w:b/>
          <w:color w:val="1F4E79"/>
          <w:sz w:val="28"/>
        </w:rPr>
        <w:t>Input Signal Detail</w:t>
      </w:r>
    </w:p>
    <w:p>
      <w:pPr>
        <w:spacing w:before="180" w:after="80"/>
      </w:pPr>
      <w:r>
        <w:rPr>
          <w:rFonts w:ascii="Arial" w:hAnsi="Arial"/>
          <w:b/>
          <w:color w:val="2E75B6"/>
          <w:sz w:val="21"/>
        </w:rPr>
        <w:t>Monetary layer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improving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Monetary layer converted from RegimeState. Monetary layer has a neutral absolute score with a improving trend, so signal strength is moderated.</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0.17 - Easier monetary conditions support broadening.</w:t>
              <w:br/>
              <w:t>- late_cycle_risk_off: decreases 0.12 - Less restrictive policy lowers break risk.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0.12 - Less restrictive policy supports broader risk.</w:t>
              <w:br/>
              <w:t>- long_duration_growth: positive 0.15 - Lower rates support duration.</w:t>
            </w:r>
          </w:p>
        </w:tc>
      </w:tr>
    </w:tbl>
    <w:p>
      <w:pPr>
        <w:spacing w:after="120"/>
      </w:pPr>
    </w:p>
    <w:p>
      <w:pPr>
        <w:spacing w:before="180" w:after="80"/>
      </w:pPr>
      <w:r>
        <w:rPr>
          <w:rFonts w:ascii="Arial" w:hAnsi="Arial"/>
          <w:b/>
          <w:color w:val="2E75B6"/>
          <w:sz w:val="21"/>
        </w:rPr>
        <w:t>Credit layer health</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 spreads tight (275bps) — credit healthy</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0.70 - Healthy credit reduces near-term risk-off odds.</w:t>
              <w:br/>
              <w:t>- reopening_soft_landing: increases 0.40 - Tight credit supports soft-landing broadening.</w:t>
              <w:br/>
              <w:t>- sticky_late_cycle_ai: increases 0.25 - Contained spreads allow narrow leadership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0.35 - Healthy credit supports profitable growth leadership.</w:t>
              <w:br/>
              <w:t>- cash_short_duration: neutral 0.10 - Credit health modestly reduces urgency for cash.</w:t>
              <w:br/>
              <w:t>- small_caps: positive 0.20 - Tight spreads are a prerequisite for broader risk appetite.</w:t>
            </w:r>
          </w:p>
        </w:tc>
      </w:tr>
    </w:tbl>
    <w:p>
      <w:pPr>
        <w:spacing w:after="120"/>
      </w:pPr>
    </w:p>
    <w:p>
      <w:pPr>
        <w:spacing w:before="180" w:after="80"/>
      </w:pPr>
      <w:r>
        <w:rPr>
          <w:rFonts w:ascii="Arial" w:hAnsi="Arial"/>
          <w:b/>
          <w:color w:val="2E75B6"/>
          <w:sz w:val="21"/>
        </w:rPr>
        <w:t>Volatility layer summary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Put/call ratio elevated (1.15) — fear-driven hedging, contrarian bullish</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0.30 - Orderly volatility structure reduces risk-off odds.</w:t>
              <w:br/>
              <w:t>- reopening_soft_landing: increases 0.20 - Orderly volatility supports soft-landing broadening.</w:t>
              <w:br/>
              <w:t>- sticky_late_cycle_ai: increases 0.10 - Calm volatility allows leadership trends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0.15 - Orderly volatility supports quality leadership.</w:t>
              <w:br/>
              <w:t>- small_caps: positive 0.10 - Orderly volatility modestly supports broader risk.</w:t>
              <w:br/>
              <w:t>- cash_short_duration: negative 0.10 - Calm volatility reduces need for cash.</w:t>
            </w:r>
          </w:p>
        </w:tc>
      </w:tr>
    </w:tbl>
    <w:p>
      <w:pPr>
        <w:spacing w:after="120"/>
      </w:pPr>
    </w:p>
    <w:p>
      <w:pPr>
        <w:spacing w:before="180" w:after="80"/>
      </w:pPr>
      <w:r>
        <w:rPr>
          <w:rFonts w:ascii="Arial" w:hAnsi="Arial"/>
          <w:b/>
          <w:color w:val="2E75B6"/>
          <w:sz w:val="21"/>
        </w:rPr>
        <w:t>Breadth and participation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deteriorating / confidence 0.90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Equal weight (RSP) lagging cap weight (SPY) — mega-cap concentration, breadth narrowing Breadth remains weak on an absolute basis.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0.60 - Weak breadth favors narrow leadership persistence.</w:t>
              <w:br/>
              <w:t>- late_cycle_risk_off: increases 0.45 - Weak breadth raises fragility risk.</w:t>
              <w:br/>
              <w:t>- reopening_soft_landing: decreases 0.55 - Soft landing broadening needs participation.</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0.45 - Narrow markets reward established leaders.</w:t>
              <w:br/>
              <w:t>- high_beta_ai_semis: negative 0.25 - Narrow breadth raises unwind risk in crowded beta.</w:t>
              <w:br/>
              <w:t>- small_caps: negative 0.60 - Weak breadth directly penalizes small caps.</w:t>
            </w:r>
          </w:p>
        </w:tc>
      </w:tr>
    </w:tbl>
    <w:p>
      <w:pPr>
        <w:spacing w:after="120"/>
      </w:pPr>
    </w:p>
    <w:p>
      <w:pPr>
        <w:spacing w:before="180" w:after="80"/>
      </w:pPr>
      <w:r>
        <w:rPr>
          <w:rFonts w:ascii="Arial" w:hAnsi="Arial"/>
          <w:b/>
          <w:color w:val="2E75B6"/>
          <w:sz w:val="21"/>
        </w:rPr>
        <w:t>Positioning and hedging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Equity put/call elevated (1.15) — retail fear, contrarian bullish setup</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0.20 - Fearful positioning can create contrarian support.</w:t>
              <w:br/>
              <w:t>- late_cycle_risk_off: increases 0.20 - Elevated hedging also signals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0.15 - Hedged markets can still support liquid leaders.</w:t>
              <w:br/>
              <w:t>- cash_short_duration: positive 0.20 - Hedging demand favors optionality and liquidity.</w:t>
            </w:r>
          </w:p>
        </w:tc>
      </w:tr>
    </w:tbl>
    <w:p>
      <w:pPr>
        <w:spacing w:after="120"/>
      </w:pPr>
    </w:p>
    <w:p>
      <w:pPr>
        <w:spacing w:before="180" w:after="80"/>
      </w:pPr>
      <w:r>
        <w:rPr>
          <w:rFonts w:ascii="Arial" w:hAnsi="Arial"/>
          <w:b/>
          <w:color w:val="2E75B6"/>
          <w:sz w:val="21"/>
        </w:rPr>
        <w:t>Fed path 2026-06-17</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CME FedWatch readings as of 2026-05-19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0.45 - Hold/hike odds support higher-for-longer.</w:t>
              <w:br/>
              <w:t>- oil_inflation_tail: increases 0.35 - Hold/hike odds leave less room to absorb inflation shocks.</w:t>
              <w:br/>
              <w:t>- reopening_soft_landing: decreases 0.45 - Soft landing broadening needs easier policy optionality.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cash_short_duration: positive 0.60 - Hold/hike pricing keeps cash attractive.</w:t>
              <w:br/>
              <w:t>- long_duration_growth: negative 0.50 - Hold/hike pricing pressures duration.</w:t>
            </w:r>
          </w:p>
        </w:tc>
      </w:tr>
    </w:tbl>
    <w:p>
      <w:pPr>
        <w:spacing w:after="120"/>
      </w:pPr>
    </w:p>
    <w:p>
      <w:pPr>
        <w:spacing w:before="180" w:after="80"/>
      </w:pPr>
      <w:r>
        <w:rPr>
          <w:rFonts w:ascii="Arial" w:hAnsi="Arial"/>
          <w:b/>
          <w:color w:val="2E75B6"/>
          <w:sz w:val="21"/>
        </w:rPr>
        <w:t>Net liquidity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0.45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Net liquidity raw value -869002.27.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Net liquidity z-score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Net liquidity z-score raw value -0.24.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NFCI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NFCI raw value -0.50.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Easy NFCI supports soft landing.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NFCI inverted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NFCI inverted raw value 0.79.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0.22 - Easier liquidity supports soft-landing broadening.</w:t>
              <w:br/>
              <w:t>- late_cycle_risk_off: decreases 0.18 - Easier liquidity reduces break risk.</w:t>
              <w:br/>
              <w:t>- sticky_late_cycle_ai: decreases 0.08 - Easing conditions can reduce narrow-leadership dependence.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long_duration_growth: positive 0.18 - Easier liquidity supports duration.</w:t>
              <w:br/>
              <w:t>- small_caps: positive 0.15 - Easier liquidity supports broader risk.</w:t>
            </w:r>
          </w:p>
        </w:tc>
      </w:tr>
    </w:tbl>
    <w:p>
      <w:pPr>
        <w:spacing w:after="120"/>
      </w:pPr>
    </w:p>
    <w:p>
      <w:pPr>
        <w:spacing w:before="180" w:after="80"/>
      </w:pPr>
      <w:r>
        <w:rPr>
          <w:rFonts w:ascii="Arial" w:hAnsi="Arial"/>
          <w:b/>
          <w:color w:val="2E75B6"/>
          <w:sz w:val="21"/>
        </w:rPr>
        <w:t>M2 growth YoY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M2 growth YoY 5.6%.</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0.12 - Positive M2 growth supports liquidity.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long_duration_growth: positive 0.10 - M2 growth supports duration.</w:t>
            </w:r>
          </w:p>
        </w:tc>
      </w:tr>
    </w:tbl>
    <w:p>
      <w:pPr>
        <w:spacing w:after="120"/>
      </w:pPr>
    </w:p>
    <w:p>
      <w:pPr>
        <w:spacing w:before="180" w:after="80"/>
      </w:pPr>
      <w:r>
        <w:rPr>
          <w:rFonts w:ascii="Arial" w:hAnsi="Arial"/>
          <w:b/>
          <w:color w:val="2E75B6"/>
          <w:sz w:val="21"/>
        </w:rPr>
        <w:t>Hy Spread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hy_spread_level raw value 276.00.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0.25 - Tight HY spreads reduce risk-off odds.</w:t>
              <w:br/>
              <w:t>- reopening_soft_landing: increases 0.18 - Tight HY spreads support soft landing.</w:t>
              <w:br/>
              <w:t>- sticky_late_cycle_ai: increases 0.10 - Contained spreads allow leadership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0.12 - Tight HY spreads support broader risk.</w:t>
            </w:r>
          </w:p>
        </w:tc>
      </w:tr>
    </w:tbl>
    <w:p>
      <w:pPr>
        <w:spacing w:after="120"/>
      </w:pPr>
    </w:p>
    <w:p>
      <w:pPr>
        <w:spacing w:before="180" w:after="80"/>
      </w:pPr>
      <w:r>
        <w:rPr>
          <w:rFonts w:ascii="Arial" w:hAnsi="Arial"/>
          <w:b/>
          <w:color w:val="2E75B6"/>
          <w:sz w:val="21"/>
        </w:rPr>
        <w:t>Hy Spread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hy_spread_z raw value -0.77.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0.18 - HY spreads are tight versus recent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 Spread Chg 4W</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hy_spread_chg_4w raw value -6.00.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Ig Spread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ig_spread_level raw value 74.00.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0.12 - Tight IG spreads reduce systemic stress.</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Ig Spread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ig_spread_z raw value -1.22.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0.10 - IG spreads are tight versus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Tlt Ratio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hyg_tlt_ratio_z raw value 1.42.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0.14 - HYG/TLT confirms credit risk appetite.</w:t>
              <w:br/>
              <w:t>- late_cycle_risk_off: decreases 0.12 - HYG/TLT reduces risk-off pressure.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vix_level raw value 21.51.</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Z 20D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vix_z_20d raw value 3.07.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0.24 - VIX is elevated versus 20-day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Term Slope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vix_term_slope raw value 0.31.</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Vvix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vvix_level raw value 102.04.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Vvix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vvix_z raw value 0.12.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Skew Index</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skew_index raw value 152.25.</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0.16 - Elevated SKEW signals tail hedging.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Pct Above 200D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improving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pct_above_200d raw value 81.80.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0.25 - pct_above_200d supports broad participation.</w:t>
              <w:br/>
              <w:t>- sticky_late_cycle_ai: decreases 0.14 - pct_above_200d reduces narrow-leadership dependence.</w:t>
              <w:br/>
              <w:t>- late_cycle_risk_off: decreases 0.14 - pct_above_200d lowers market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0.20 - pct_above_200d supports broader risk.</w:t>
              <w:br/>
              <w:t>- long_duration_growth: positive 0.10 - pct_above_200d supports broader growth participation.</w:t>
            </w:r>
          </w:p>
        </w:tc>
      </w:tr>
    </w:tbl>
    <w:p>
      <w:pPr>
        <w:spacing w:after="120"/>
      </w:pPr>
    </w:p>
    <w:p>
      <w:pPr>
        <w:spacing w:before="180" w:after="80"/>
      </w:pPr>
      <w:r>
        <w:rPr>
          <w:rFonts w:ascii="Arial" w:hAnsi="Arial"/>
          <w:b/>
          <w:color w:val="2E75B6"/>
          <w:sz w:val="21"/>
        </w:rPr>
        <w:t>Sectors Green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sectors_green raw value 5.00.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Vs Spy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deteriorating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rsp_vs_spy_z raw value -0.70.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0.24 - rsp_vs_spy_z favors narrow leadership.</w:t>
              <w:br/>
              <w:t>- late_cycle_risk_off: increases 0.18 - rsp_vs_spy_z raises fragility.</w:t>
              <w:br/>
              <w:t>- reopening_soft_landing: decreases 0.22 - rsp_vs_spy_z undermines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0.14 - rsp_vs_spy_z favors liquid leaders.</w:t>
              <w:br/>
              <w:t>- small_caps: negative 0.22 - rsp_vs_spy_z penalizes small-cap beta.</w:t>
            </w:r>
          </w:p>
        </w:tc>
      </w:tr>
    </w:tbl>
    <w:p>
      <w:pPr>
        <w:spacing w:after="120"/>
      </w:pPr>
    </w:p>
    <w:p>
      <w:pPr>
        <w:spacing w:before="180" w:after="80"/>
      </w:pPr>
      <w:r>
        <w:rPr>
          <w:rFonts w:ascii="Arial" w:hAnsi="Arial"/>
          <w:b/>
          <w:color w:val="2E75B6"/>
          <w:sz w:val="21"/>
        </w:rPr>
        <w:t>Adl Slope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improving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adl_slope raw value 0.62.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0.25 - adl_slope supports broad participation.</w:t>
              <w:br/>
              <w:t>- sticky_late_cycle_ai: decreases 0.14 - adl_slope reduces narrow-leadership dependence.</w:t>
              <w:br/>
              <w:t>- late_cycle_risk_off: decreases 0.14 - adl_slope lowers market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0.20 - adl_slope supports broader risk.</w:t>
              <w:br/>
              <w:t>- long_duration_growth: positive 0.10 - adl_slope supports broader growth participation.</w:t>
            </w:r>
          </w:p>
        </w:tc>
      </w:tr>
    </w:tbl>
    <w:p>
      <w:pPr>
        <w:spacing w:after="120"/>
      </w:pPr>
    </w:p>
    <w:p>
      <w:pPr>
        <w:spacing w:before="180" w:after="80"/>
      </w:pPr>
      <w:r>
        <w:rPr>
          <w:rFonts w:ascii="Arial" w:hAnsi="Arial"/>
          <w:b/>
          <w:color w:val="2E75B6"/>
          <w:sz w:val="21"/>
        </w:rPr>
        <w:t>Cot Net Large Spec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0.65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cot_net_large_spec_z raw value -1.63.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Monetary policy composite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mixed / confidence 0.64</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Composite reconciles layer score 5.59, layer signal mixed with Fed hold/hike probability 80%, cut probability 20%, Fed signal bearish. Component signals are displayed but excluded from probability updates. High hold/hike odds keep policy from being treated as outright bullish.</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0.25 - Fed hold/hike pricing offsets softer monetary-layer signals.</w:t>
              <w:br/>
              <w:t>- oil_inflation_tail: increases 0.20 - High hold/hike odds leave less cushion against inflation tails.</w:t>
              <w:br/>
              <w:t>- reopening_soft_landing: decreases 0.25 - Policy is not easy enough to fully endorse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cash_short_duration: positive 0.35 - High hold/hike odds keep carry relevant.</w:t>
              <w:br/>
              <w:t>- long_duration_growth: negative 0.30 - High hold/hike odds restrain duration.</w:t>
              <w:br/>
              <w:t>- quality_ex_ai_cash_flow: positive 0.15 - Mixed policy favors durable cash flow.</w:t>
            </w:r>
          </w:p>
        </w:tc>
      </w:tr>
    </w:tbl>
    <w:p>
      <w:pPr>
        <w:spacing w:after="120"/>
      </w:pPr>
    </w:p>
    <w:p>
      <w:pPr>
        <w:spacing w:before="180" w:after="80"/>
      </w:pPr>
      <w:r>
        <w:rPr>
          <w:rFonts w:ascii="Arial" w:hAnsi="Arial"/>
          <w:b/>
          <w:color w:val="2E75B6"/>
          <w:sz w:val="21"/>
        </w:rPr>
        <w:t>SPY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0.05 - SPY return is positive.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QQQ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QQQ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0.05 - QQQ return is positive.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IWM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IWM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IWM return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TLT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TLT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0.05 - Treasury strength can reflect defensive demand.</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HYG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0.07 - HYG tape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GLD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GLD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decreases 0.05 - GLD return pressure reduces inflation-tail tape.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USO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USO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decreases 0.05 - USO return pressure reduces inflation-tail tape.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BTC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BTC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BTC return is negative.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RSP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RSP return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minus TLT risk-on proxy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Cross-asset risk-on proxy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0.10 - HYG minus TLT tape is risk-on.</w:t>
              <w:br/>
              <w:t>- late_cycle_risk_off: decreases 0.08 - HYG minus TLT tape is risk-on.</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minus SPY participation proxy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Equal-weight versus cap-weight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0.12 - RSP underperformance confirms narrow leadership.</w:t>
              <w:br/>
              <w:t>- reopening_soft_landing: decreases 0.10 - RSP underperformance undermines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IWM minus SPY small-cap leadership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Small-cap leadership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0.10 - Small-cap leadership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QQQ minus SPY growth leadership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Nasdaq versus S&amp;P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0.08 - QQQ outperformance supports growth/AI leadership.</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Market tape leadership top 3</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Top sector leadership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0.07 - Technology-led leadership supports narrow AI/tape persistence.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Market tape sector dispersion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Sector return dispersion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High sector dispersion can signal fragile leadership.</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Above Vwap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spy_above_vwap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0.04 - spy_above_vwap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Above Prev Close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spy_above_prev_close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0.04 - spy_above_prev_close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Clv</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spy_clv raw value 0.35.</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0.06 - spy_clv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Range Pct</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spy_range_pct raw value 0.56.</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0.06 - spy_range_pct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Vol Z 20D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spy_vol_z_20d raw value -2.86.</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spy_vol_z_20d is weak.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Volume Confirmation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volume_confirmation raw value -2.86.</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volume_confirmation is weak.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Change Pct 1D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vix_change_pct_1d raw value -4.04.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AI earnings resilience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0.80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bullish/stable bullish for quality ai infrastructure capital spending tied to data-center demand remains durable, and revision-supported ai infrastructure leaders can continue working even if the broader macro backdrop is fragile.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0.65 - AI earnings resilience supports narrow leadership.</w:t>
              <w:br/>
              <w:t>- ai_capex_rollover: decreases 0.55 - Resilient AI earnings reduce capex-rollover odds.</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0.65 - AI resilience supports quality AI leaders.</w:t>
              <w:br/>
              <w:t>- grid_power_infrastructure: positive 0.45 - AI capex resilience supports power demand.</w:t>
              <w:br/>
              <w:t>- high_beta_ai_semis: positive 0.25 - AI resilience helps semis, though crowding remains.</w:t>
            </w:r>
          </w:p>
        </w:tc>
      </w:tr>
    </w:tbl>
    <w:p>
      <w:pPr>
        <w:spacing w:after="120"/>
      </w:pPr>
    </w:p>
    <w:p>
      <w:pPr>
        <w:spacing w:before="180" w:after="80"/>
      </w:pPr>
      <w:r>
        <w:rPr>
          <w:rFonts w:ascii="Arial" w:hAnsi="Arial"/>
          <w:b/>
          <w:color w:val="2E75B6"/>
          <w:sz w:val="21"/>
        </w:rPr>
        <w:t>Oil shock and reopening optionality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mixed / confidence 0.80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mixed/mixed still inflationary, but risk premium is now two-sided oil remains elevated versus pre-shock levels, but reopening and de-escalation headlines have reduced the one-way upside pressure. energy remains a useful hedge, but the trade is more tactical and headline-sensitive.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increases 0.45 - Oil shock language keeps inflation-tail risk alive.</w:t>
              <w:br/>
              <w:t>- reopening_soft_landing: increases 0.35 - Reopening optionality supports soft-landing relief.</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energy_oil_beta: positive 0.50 - Oil risk supports energy beta.</w:t>
              <w:br/>
              <w:t>- commodities_real_assets: positive 0.35 - Inflation tails support real assets.</w:t>
            </w:r>
          </w:p>
        </w:tc>
      </w:tr>
    </w:tbl>
    <w:p>
      <w:pPr>
        <w:spacing w:after="120"/>
      </w:pPr>
    </w:p>
    <w:p>
      <w:pPr>
        <w:spacing w:before="180" w:after="80"/>
      </w:pPr>
      <w:r>
        <w:rPr>
          <w:rFonts w:ascii="Arial" w:hAnsi="Arial"/>
          <w:b/>
          <w:color w:val="2E75B6"/>
          <w:sz w:val="21"/>
        </w:rPr>
        <w:t>Hyperscaler capex rollover falsifier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Hyperscaler capex guidance weakens materially</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ai_capex_rollover: decreases 0.25 - Capex rollover falsifier has not triggered.</w:t>
              <w:br/>
              <w:t>- sticky_late_cycle_ai: increases 0.20 - Untriggered capex falsifier supports AI leadership persistence.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0.25 - Untriggered capex risk supports quality AI.</w:t>
              <w:br/>
              <w:t>- grid_power_infrastructure: positive 0.20 - Untriggered capex risk supports grid demand.</w:t>
            </w:r>
          </w:p>
        </w:tc>
      </w:tr>
    </w:tbl>
    <w:p>
      <w:pPr>
        <w:spacing w:after="120"/>
      </w:pPr>
    </w:p>
    <w:p>
      <w:pPr>
        <w:spacing w:before="320" w:after="140"/>
      </w:pPr>
      <w:r>
        <w:rPr>
          <w:rFonts w:ascii="Arial" w:hAnsi="Arial"/>
          <w:b/>
          <w:color w:val="1F4E79"/>
          <w:sz w:val="28"/>
        </w:rPr>
        <w:t>Methodology Notes</w:t>
      </w:r>
    </w:p>
    <w:p>
      <w:pPr>
        <w:spacing w:after="40"/>
      </w:pPr>
      <w:r>
        <w:rPr>
          <w:rFonts w:ascii="Arial" w:hAnsi="Arial"/>
          <w:b w:val="0"/>
          <w:color w:val="595959"/>
          <w:sz w:val="17"/>
        </w:rPr>
        <w:t>Layer summaries are generated from Helix regime layer scores.</w:t>
      </w:r>
    </w:p>
    <w:p>
      <w:pPr>
        <w:spacing w:after="40"/>
      </w:pPr>
      <w:r>
        <w:rPr>
          <w:rFonts w:ascii="Arial" w:hAnsi="Arial"/>
          <w:b w:val="0"/>
          <w:color w:val="595959"/>
          <w:sz w:val="17"/>
        </w:rPr>
        <w:t>Raw components are generated from the underlying RegimeInputs fields.</w:t>
      </w:r>
    </w:p>
    <w:p>
      <w:pPr>
        <w:spacing w:after="40"/>
      </w:pPr>
      <w:r>
        <w:rPr>
          <w:rFonts w:ascii="Arial" w:hAnsi="Arial"/>
          <w:b w:val="0"/>
          <w:color w:val="595959"/>
          <w:sz w:val="17"/>
        </w:rPr>
        <w:t>Market/tape signals are generated from MarketState.</w:t>
      </w:r>
    </w:p>
    <w:p>
      <w:pPr>
        <w:spacing w:after="40"/>
      </w:pPr>
      <w:r>
        <w:rPr>
          <w:rFonts w:ascii="Arial" w:hAnsi="Arial"/>
          <w:b w:val="0"/>
          <w:color w:val="595959"/>
          <w:sz w:val="17"/>
        </w:rPr>
        <w:t>Regime drivers and scenario falsifiers are generated from active regime context and scenario definitions.</w:t>
      </w:r>
    </w:p>
    <w:p>
      <w:pPr>
        <w:spacing w:after="40"/>
      </w:pPr>
      <w:r>
        <w:rPr>
          <w:rFonts w:ascii="Arial" w:hAnsi="Arial"/>
          <w:b w:val="0"/>
          <w:color w:val="595959"/>
          <w:sz w:val="17"/>
        </w:rPr>
        <w:t>In hybrid mode, layer summaries provide base scenario impacts and raw components act as modifiers within the same parent layer.</w:t>
      </w:r>
    </w:p>
    <w:p>
      <w:pPr>
        <w:spacing w:after="40"/>
      </w:pPr>
      <w:r>
        <w:rPr>
          <w:rFonts w:ascii="Arial" w:hAnsi="Arial"/>
          <w:b w:val="0"/>
          <w:color w:val="595959"/>
          <w:sz w:val="17"/>
        </w:rPr>
        <w:t>Dedupe caps prevent one layer from dominating through many correlated inputs.</w:t>
      </w:r>
    </w:p>
    <w:p>
      <w:pPr>
        <w:spacing w:after="40"/>
      </w:pPr>
      <w:r>
        <w:rPr>
          <w:rFonts w:ascii="Arial" w:hAnsi="Arial"/>
          <w:b w:val="0"/>
          <w:color w:val="595959"/>
          <w:sz w:val="17"/>
        </w:rPr>
        <w:t>Market/tape signals are downweighted for longer horizons.</w:t>
      </w:r>
    </w:p>
    <w:p>
      <w:pPr>
        <w:spacing w:after="40"/>
      </w:pPr>
      <w:r>
        <w:rPr>
          <w:rFonts w:ascii="Arial" w:hAnsi="Arial"/>
          <w:b w:val="0"/>
          <w:color w:val="595959"/>
          <w:sz w:val="17"/>
        </w:rPr>
        <w:t>raw_component_contribution = direction_sign × base_strength × confidence × signal_multiplier × horizon_weight × dedupe_weight</w:t>
      </w:r>
    </w:p>
    <w:p>
      <w:pPr>
        <w:spacing w:after="40"/>
      </w:pPr>
      <w:r>
        <w:rPr>
          <w:rFonts w:ascii="Arial" w:hAnsi="Arial"/>
          <w:b w:val="0"/>
          <w:color w:val="595959"/>
          <w:sz w:val="17"/>
        </w:rPr>
        <w:t>layer_summary_contribution = direction_sign × base_strength × confidence × layer_summary_base_weight</w:t>
      </w:r>
    </w:p>
    <w:p>
      <w:pPr>
        <w:spacing w:after="40"/>
      </w:pPr>
      <w:r>
        <w:rPr>
          <w:rFonts w:ascii="Arial" w:hAnsi="Arial"/>
          <w:b w:val="0"/>
          <w:color w:val="595959"/>
          <w:sz w:val="17"/>
        </w:rPr>
        <w:t>final_layer_group_contribution = layer_summary_contribution + capped_sum(raw_component_modifiers)</w:t>
      </w:r>
    </w:p>
    <w:p>
      <w:pPr>
        <w:spacing w:after="40"/>
      </w:pPr>
      <w:r>
        <w:rPr>
          <w:rFonts w:ascii="Arial" w:hAnsi="Arial"/>
          <w:b w:val="0"/>
          <w:color w:val="595959"/>
          <w:sz w:val="17"/>
        </w:rPr>
        <w:t>raw_score_s = prior_score_s + Σ input_contribution_i,s</w:t>
      </w:r>
    </w:p>
    <w:p>
      <w:pPr>
        <w:spacing w:after="40"/>
      </w:pPr>
      <w:r>
        <w:rPr>
          <w:rFonts w:ascii="Arial" w:hAnsi="Arial"/>
          <w:b w:val="0"/>
          <w:color w:val="595959"/>
          <w:sz w:val="17"/>
        </w:rPr>
        <w:t>input_contribution_i,s = direction_sign × base_strength_i,s × confidence_i × signal_multiplier_i</w:t>
      </w:r>
    </w:p>
    <w:p>
      <w:pPr>
        <w:spacing w:after="40"/>
      </w:pPr>
      <w:r>
        <w:rPr>
          <w:rFonts w:ascii="Arial" w:hAnsi="Arial"/>
          <w:b w:val="0"/>
          <w:color w:val="595959"/>
          <w:sz w:val="17"/>
        </w:rPr>
        <w:t>pre_floor_probability_s = softmax(raw_score_s)</w:t>
      </w:r>
    </w:p>
    <w:p>
      <w:pPr>
        <w:spacing w:after="40"/>
      </w:pPr>
      <w:r>
        <w:rPr>
          <w:rFonts w:ascii="Arial" w:hAnsi="Arial"/>
          <w:b w:val="0"/>
          <w:color w:val="595959"/>
          <w:sz w:val="17"/>
        </w:rPr>
        <w:t>final_probability_s = apply_floors_and_caps(pre_floor_probability_s)</w:t>
      </w:r>
    </w:p>
    <w:p>
      <w:pPr>
        <w:spacing w:after="40"/>
      </w:pPr>
      <w:r>
        <w:rPr>
          <w:rFonts w:ascii="Arial" w:hAnsi="Arial"/>
          <w:b w:val="0"/>
          <w:color w:val="595959"/>
          <w:sz w:val="17"/>
        </w:rPr>
        <w:t>macro_support_score_t = Σ scenario_probability_s × theme_exposure_score_t,s</w:t>
      </w:r>
    </w:p>
    <w:p>
      <w:pPr>
        <w:spacing w:after="40"/>
      </w:pPr>
      <w:r>
        <w:rPr>
          <w:rFonts w:ascii="Arial" w:hAnsi="Arial"/>
          <w:b w:val="0"/>
          <w:color w:val="595959"/>
          <w:sz w:val="17"/>
        </w:rPr>
        <w:t>theme_contribution_t,s = scenario_probability_s × theme_exposure_score_t,s</w:t>
      </w:r>
    </w:p>
    <w:p>
      <w:pPr>
        <w:spacing w:after="40"/>
      </w:pPr>
      <w:r>
        <w:rPr>
          <w:rFonts w:ascii="Arial" w:hAnsi="Arial"/>
          <w:b w:val="0"/>
          <w:color w:val="595959"/>
          <w:sz w:val="17"/>
        </w:rPr>
        <w:t>ranking_score_t = macro_support_score_t</w:t>
      </w:r>
    </w:p>
    <w:p>
      <w:pPr>
        <w:spacing w:after="40"/>
      </w:pPr>
      <w:r>
        <w:rPr>
          <w:rFonts w:ascii="Arial" w:hAnsi="Arial"/>
          <w:b w:val="0"/>
          <w:color w:val="595959"/>
          <w:sz w:val="17"/>
        </w:rPr>
        <w:t>sector_score = Σ theme_macro_support_score_t × sector_theme_weight_t</w:t>
      </w:r>
    </w:p>
    <w:p>
      <w:pPr>
        <w:spacing w:after="40"/>
      </w:pPr>
      <w:r>
        <w:rPr>
          <w:rFonts w:ascii="Arial" w:hAnsi="Arial"/>
          <w:b w:val="0"/>
          <w:color w:val="595959"/>
          <w:sz w:val="17"/>
        </w:rPr>
        <w:t>factor_score = Σ theme_macro_support_score_t × factor_theme_weight_t</w:t>
      </w:r>
    </w:p>
    <w:p>
      <w:pPr>
        <w:spacing w:after="40"/>
      </w:pPr>
      <w:r>
        <w:rPr>
          <w:rFonts w:ascii="Arial" w:hAnsi="Arial"/>
          <w:b w:val="0"/>
          <w:color w:val="595959"/>
          <w:sz w:val="17"/>
        </w:rPr>
        <w:t>Macro forecast theme rankings intentionally exclude valuation, crowding, narrative maturity, consensus gap, and ticker-level quality. Those are evaluated by downstream research agents.</w:t>
      </w:r>
    </w:p>
    <w:p>
      <w:pPr>
        <w:spacing w:after="40"/>
      </w:pPr>
      <w:r>
        <w:rPr>
          <w:rFonts w:ascii="Arial" w:hAnsi="Arial"/>
          <w:b w:val="0"/>
          <w:color w:val="595959"/>
          <w:sz w:val="17"/>
        </w:rPr>
        <w:t>Monetary component signals are displayed as inputs but excluded from probability math when monetary_policy_composite is enabled.</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595959"/>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