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06"/>
        <w:tblBorders>
          <w:top w:val="none" w:color="FFFFFF" w:sz="0"/>
          <w:left w:val="none" w:color="FFFFFF" w:sz="0"/>
          <w:bottom w:val="none" w:color="FFFFFF" w:sz="0"/>
          <w:right w:val="none" w:color="FFFFFF" w:sz="0"/>
          <w:insideH w:val="none" w:color="FFFFFF" w:sz="0"/>
          <w:insideV w:val="none" w:color="FFFFFF" w:sz="0"/>
        </w:tblBorders>
      </w:tblPr>
      <w:tblGrid>
        <w:gridCol w:w="5300"/>
        <w:gridCol w:w="4806"/>
      </w:tblGrid>
      <w:tr>
        <w:tc>
          <w:tcPr>
            <w:tcW w:type="dxa" w:w="5300"/>
            <w:tcBorders>
              <w:top w:val="none" w:color="FFFFFF" w:sz="0"/>
              <w:left w:val="none" w:color="FFFFFF" w:sz="0"/>
              <w:bottom w:val="none" w:color="FFFFFF" w:sz="0"/>
              <w:right w:val="none" w:color="FFFFFF" w:sz="0"/>
            </w:tcBorders>
            <w:vAlign w:val="center"/>
          </w:tcPr>
          <w:p>
            <w:r>
              <w:drawing>
                <wp:inline distT="0" distB="0" distL="0" distR="0">
                  <wp:extent cx="16764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76400" cy="876300"/>
                          </a:xfrm>
                          <a:prstGeom prst="rect">
                            <a:avLst/>
                          </a:prstGeom>
                        </pic:spPr>
                      </pic:pic>
                    </a:graphicData>
                  </a:graphic>
                </wp:inline>
              </w:drawing>
            </w:r>
          </w:p>
        </w:tc>
        <w:tc>
          <w:tcPr>
            <w:tcW w:type="dxa" w:w="4806"/>
            <w:tcBorders>
              <w:top w:val="none" w:color="FFFFFF" w:sz="0"/>
              <w:left w:val="none" w:color="FFFFFF" w:sz="0"/>
              <w:bottom w:val="none" w:color="FFFFFF" w:sz="0"/>
              <w:right w:val="none" w:color="FFFFFF" w:sz="0"/>
            </w:tcBorders>
            <w:vAlign w:val="center"/>
          </w:tcPr>
          <w:p>
            <w:pPr>
              <w:spacing w:after="40"/>
              <w:jc w:val="right"/>
            </w:pPr>
            <w:r>
              <w:rPr>
                <w:rFonts w:ascii="Aptos" w:cs="Aptos" w:eastAsia="Aptos" w:hAnsi="Aptos"/>
                <w:b w:val="false"/>
                <w:bCs w:val="false"/>
                <w:i w:val="false"/>
                <w:iCs w:val="false"/>
                <w:caps w:val="false"/>
                <w:color w:val="5A6069"/>
                <w:sz w:val="14"/>
                <w:szCs w:val="14"/>
              </w:rPr>
              <w:t xml:space="preserve">In partnership with</w:t>
            </w:r>
          </w:p>
          <w:p>
            <w:pPr>
              <w:jc w:val="right"/>
            </w:pPr>
            <w:r>
              <w:drawing>
                <wp:inline distT="0" distB="0" distL="0" distR="0">
                  <wp:extent cx="12573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57300" cy="638175"/>
                          </a:xfrm>
                          <a:prstGeom prst="rect">
                            <a:avLst/>
                          </a:prstGeom>
                        </pic:spPr>
                      </pic:pic>
                    </a:graphicData>
                  </a:graphic>
                </wp:inline>
              </w:drawing>
            </w:r>
          </w:p>
        </w:tc>
      </w:tr>
    </w:tbl>
    <w:p>
      <w:pPr>
        <w:spacing w:after="200" w:before="0"/>
      </w:pPr>
      <w:r>
        <w:rPr>
          <w:rFonts w:ascii="Aptos" w:cs="Aptos" w:eastAsia="Aptos" w:hAnsi="Aptos"/>
          <w:b w:val="false"/>
          <w:bCs w:val="false"/>
          <w:i w:val="false"/>
          <w:iCs w:val="false"/>
          <w:caps w:val="false"/>
          <w:color w:val="1A1A1A"/>
          <w:sz w:val="19"/>
          <w:szCs w:val="19"/>
        </w:rPr>
        <w:t xml:space="preserve"/>
      </w:r>
    </w:p>
    <w:p>
      <w:pPr>
        <w:spacing w:after="50" w:before="40"/>
        <w:jc w:val="left"/>
      </w:pPr>
      <w:r>
        <w:rPr>
          <w:rFonts w:ascii="Aptos" w:cs="Aptos" w:eastAsia="Aptos" w:hAnsi="Aptos"/>
          <w:b/>
          <w:bCs/>
          <w:i w:val="false"/>
          <w:iCs w:val="false"/>
          <w:caps w:val="false"/>
          <w:color w:val="1A1A1A"/>
          <w:sz w:val="32"/>
          <w:szCs w:val="32"/>
        </w:rPr>
        <w:t xml:space="preserve">PEN-Plus Phase Two quarterly country report</w:t>
      </w:r>
    </w:p>
    <w:p>
      <w:pPr>
        <w:spacing w:after="170" w:before="40"/>
        <w:jc w:val="left"/>
      </w:pPr>
      <w:r>
        <w:rPr>
          <w:rFonts w:ascii="Aptos" w:cs="Aptos" w:eastAsia="Aptos" w:hAnsi="Aptos"/>
          <w:b w:val="false"/>
          <w:bCs w:val="false"/>
          <w:i w:val="false"/>
          <w:iCs w:val="false"/>
          <w:caps w:val="false"/>
          <w:color w:val="5A6069"/>
          <w:sz w:val="19"/>
          <w:szCs w:val="19"/>
        </w:rPr>
        <w:t xml:space="preserve">Aligned to the focus areas of the Phase Two Results Framework</w:t>
      </w:r>
    </w:p>
    <w:p>
      <w:pPr>
        <w:spacing w:after="150" w:before="40"/>
        <w:jc w:val="left"/>
      </w:pPr>
      <w:r>
        <w:rPr>
          <w:rFonts w:ascii="Aptos" w:cs="Aptos" w:eastAsia="Aptos" w:hAnsi="Aptos"/>
          <w:b w:val="false"/>
          <w:bCs w:val="false"/>
          <w:i w:val="false"/>
          <w:iCs w:val="false"/>
          <w:caps w:val="false"/>
          <w:color w:val="1A1A1A"/>
          <w:sz w:val="19"/>
          <w:szCs w:val="19"/>
        </w:rPr>
        <w:t xml:space="preserve">This document carries the same questions, in the same order, as the Excel quarterly template, version 3. Sections 1 to 6 are the six focus areas of the Results Framework in its own numbering, each with its indicators and the country activities carried out under it, so the return maps directly onto the report to partners.</w:t>
      </w:r>
    </w:p>
    <w:p>
      <w:pPr>
        <w:spacing w:after="50" w:before="40"/>
        <w:jc w:val="left"/>
      </w:pPr>
      <w:r>
        <w:rPr>
          <w:rFonts w:ascii="Aptos" w:cs="Aptos" w:eastAsia="Aptos" w:hAnsi="Aptos"/>
          <w:b/>
          <w:bCs/>
          <w:i w:val="false"/>
          <w:iCs w:val="false"/>
          <w:caps w:val="false"/>
          <w:color w:val="1A1A1A"/>
          <w:sz w:val="20"/>
          <w:szCs w:val="20"/>
        </w:rPr>
        <w:t xml:space="preserve">How to complete</w:t>
      </w:r>
    </w:p>
    <w:p>
      <w:pPr>
        <w:spacing w:after="28" w:before="28"/>
      </w:pPr>
      <w:r>
        <w:rPr>
          <w:rFonts w:ascii="Aptos" w:cs="Aptos" w:eastAsia="Aptos" w:hAnsi="Aptos"/>
          <w:b/>
          <w:bCs/>
          <w:i w:val="false"/>
          <w:iCs w:val="false"/>
          <w:caps w:val="false"/>
          <w:color w:val="1A1A1A"/>
          <w:sz w:val="19"/>
          <w:szCs w:val="19"/>
        </w:rPr>
        <w:t xml:space="preserve">1.  </w:t>
      </w:r>
      <w:r>
        <w:rPr>
          <w:rFonts w:ascii="Aptos" w:cs="Aptos" w:eastAsia="Aptos" w:hAnsi="Aptos"/>
          <w:b w:val="false"/>
          <w:bCs w:val="false"/>
          <w:i w:val="false"/>
          <w:iCs w:val="false"/>
          <w:caps w:val="false"/>
          <w:color w:val="1A1A1A"/>
          <w:sz w:val="19"/>
          <w:szCs w:val="19"/>
        </w:rPr>
        <w:t xml:space="preserve">One return per country per quarter. Report the quarter named in section 1 and no other.</w:t>
      </w:r>
    </w:p>
    <w:p>
      <w:pPr>
        <w:spacing w:after="28" w:before="28"/>
      </w:pPr>
      <w:r>
        <w:rPr>
          <w:rFonts w:ascii="Aptos" w:cs="Aptos" w:eastAsia="Aptos" w:hAnsi="Aptos"/>
          <w:b/>
          <w:bCs/>
          <w:i w:val="false"/>
          <w:iCs w:val="false"/>
          <w:caps w:val="false"/>
          <w:color w:val="1A1A1A"/>
          <w:sz w:val="19"/>
          <w:szCs w:val="19"/>
        </w:rPr>
        <w:t xml:space="preserve">2.  </w:t>
      </w:r>
      <w:r>
        <w:rPr>
          <w:rFonts w:ascii="Aptos" w:cs="Aptos" w:eastAsia="Aptos" w:hAnsi="Aptos"/>
          <w:b w:val="false"/>
          <w:bCs w:val="false"/>
          <w:i w:val="false"/>
          <w:iCs w:val="false"/>
          <w:caps w:val="false"/>
          <w:color w:val="1A1A1A"/>
          <w:sz w:val="19"/>
          <w:szCs w:val="19"/>
        </w:rPr>
        <w:t xml:space="preserve">Write 0 where there were none. Leave a cell blank only if the figure cannot be produced; a blank is read as not reported, never as zero.</w:t>
      </w:r>
    </w:p>
    <w:p>
      <w:pPr>
        <w:spacing w:after="28" w:before="28"/>
      </w:pPr>
      <w:r>
        <w:rPr>
          <w:rFonts w:ascii="Aptos" w:cs="Aptos" w:eastAsia="Aptos" w:hAnsi="Aptos"/>
          <w:b/>
          <w:bCs/>
          <w:i w:val="false"/>
          <w:iCs w:val="false"/>
          <w:caps w:val="false"/>
          <w:color w:val="1A1A1A"/>
          <w:sz w:val="19"/>
          <w:szCs w:val="19"/>
        </w:rPr>
        <w:t xml:space="preserve">3.  </w:t>
      </w:r>
      <w:r>
        <w:rPr>
          <w:rFonts w:ascii="Aptos" w:cs="Aptos" w:eastAsia="Aptos" w:hAnsi="Aptos"/>
          <w:b w:val="false"/>
          <w:bCs w:val="false"/>
          <w:i w:val="false"/>
          <w:iCs w:val="false"/>
          <w:caps w:val="false"/>
          <w:color w:val="1A1A1A"/>
          <w:sz w:val="19"/>
          <w:szCs w:val="19"/>
        </w:rPr>
        <w:t xml:space="preserve">Choose from the drop-down lists rather than typing.</w:t>
      </w:r>
    </w:p>
    <w:p>
      <w:pPr>
        <w:spacing w:after="28" w:before="28"/>
      </w:pPr>
      <w:r>
        <w:rPr>
          <w:rFonts w:ascii="Aptos" w:cs="Aptos" w:eastAsia="Aptos" w:hAnsi="Aptos"/>
          <w:b/>
          <w:bCs/>
          <w:i w:val="false"/>
          <w:iCs w:val="false"/>
          <w:caps w:val="false"/>
          <w:color w:val="1A1A1A"/>
          <w:sz w:val="19"/>
          <w:szCs w:val="19"/>
        </w:rPr>
        <w:t xml:space="preserve">4.  </w:t>
      </w:r>
      <w:r>
        <w:rPr>
          <w:rFonts w:ascii="Aptos" w:cs="Aptos" w:eastAsia="Aptos" w:hAnsi="Aptos"/>
          <w:b w:val="false"/>
          <w:bCs w:val="false"/>
          <w:i w:val="false"/>
          <w:iCs w:val="false"/>
          <w:caps w:val="false"/>
          <w:color w:val="1A1A1A"/>
          <w:sz w:val="19"/>
          <w:szCs w:val="19"/>
        </w:rPr>
        <w:t xml:space="preserve">Every Yes on a policy or plan needs the title of the document that proves it.</w:t>
      </w:r>
    </w:p>
    <w:p>
      <w:pPr>
        <w:spacing w:after="28" w:before="28"/>
      </w:pPr>
      <w:r>
        <w:rPr>
          <w:rFonts w:ascii="Aptos" w:cs="Aptos" w:eastAsia="Aptos" w:hAnsi="Aptos"/>
          <w:b/>
          <w:bCs/>
          <w:i w:val="false"/>
          <w:iCs w:val="false"/>
          <w:caps w:val="false"/>
          <w:color w:val="1A1A1A"/>
          <w:sz w:val="19"/>
          <w:szCs w:val="19"/>
        </w:rPr>
        <w:t xml:space="preserve">5.  </w:t>
      </w:r>
      <w:r>
        <w:rPr>
          <w:rFonts w:ascii="Aptos" w:cs="Aptos" w:eastAsia="Aptos" w:hAnsi="Aptos"/>
          <w:b w:val="false"/>
          <w:bCs w:val="false"/>
          <w:i w:val="false"/>
          <w:iCs w:val="false"/>
          <w:caps w:val="false"/>
          <w:color w:val="1A1A1A"/>
          <w:sz w:val="19"/>
          <w:szCs w:val="19"/>
        </w:rPr>
        <w:t xml:space="preserve">Grey cells are pre-filled by the Regional Office.</w:t>
      </w:r>
    </w:p>
    <w:p>
      <w:pPr>
        <w:spacing w:after="28" w:before="28"/>
      </w:pPr>
      <w:r>
        <w:rPr>
          <w:rFonts w:ascii="Aptos" w:cs="Aptos" w:eastAsia="Aptos" w:hAnsi="Aptos"/>
          <w:b/>
          <w:bCs/>
          <w:i w:val="false"/>
          <w:iCs w:val="false"/>
          <w:caps w:val="false"/>
          <w:color w:val="1A1A1A"/>
          <w:sz w:val="19"/>
          <w:szCs w:val="19"/>
        </w:rPr>
        <w:t xml:space="preserve">6.  </w:t>
      </w:r>
      <w:r>
        <w:rPr>
          <w:rFonts w:ascii="Aptos" w:cs="Aptos" w:eastAsia="Aptos" w:hAnsi="Aptos"/>
          <w:b w:val="false"/>
          <w:bCs w:val="false"/>
          <w:i w:val="false"/>
          <w:iCs w:val="false"/>
          <w:caps w:val="false"/>
          <w:color w:val="1A1A1A"/>
          <w:sz w:val="19"/>
          <w:szCs w:val="19"/>
        </w:rPr>
        <w:t xml:space="preserve">Items marked Q4 are completed with the fourth-quarter return; earlier in the year, only if something changed. Off-white cells are optional.</w:t>
      </w:r>
    </w:p>
    <w:p>
      <w:pPr>
        <w:spacing w:after="28" w:before="28"/>
      </w:pPr>
      <w:r>
        <w:rPr>
          <w:rFonts w:ascii="Aptos" w:cs="Aptos" w:eastAsia="Aptos" w:hAnsi="Aptos"/>
          <w:b/>
          <w:bCs/>
          <w:i w:val="false"/>
          <w:iCs w:val="false"/>
          <w:caps w:val="false"/>
          <w:color w:val="1A1A1A"/>
          <w:sz w:val="19"/>
          <w:szCs w:val="19"/>
        </w:rPr>
        <w:t xml:space="preserve">7.  </w:t>
      </w:r>
      <w:r>
        <w:rPr>
          <w:rFonts w:ascii="Aptos" w:cs="Aptos" w:eastAsia="Aptos" w:hAnsi="Aptos"/>
          <w:b w:val="false"/>
          <w:bCs w:val="false"/>
          <w:i w:val="false"/>
          <w:iCs w:val="false"/>
          <w:caps w:val="false"/>
          <w:color w:val="1A1A1A"/>
          <w:sz w:val="19"/>
          <w:szCs w:val="19"/>
        </w:rPr>
        <w:t xml:space="preserve">Return the completed report within six weeks of the end of the quarter to the NCD and Mental Health team, WHO Regional Office for Africa.</w:t>
      </w:r>
    </w:p>
    <w:p>
      <w:pPr>
        <w:spacing w:after="14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0.  Identification and reporting completeness</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Every quarter</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Field</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Entry</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Country</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Country"/>
                <w:tag w:val="dd_country"/>
                <w:id w:val="700001"/>
                <w:dropDownList>
                  <w:listItem w:displayText="Angola" w:value="Angola"/>
                  <w:listItem w:displayText="Benin" w:value="Benin"/>
                  <w:listItem w:displayText="Botswana" w:value="Botswana"/>
                  <w:listItem w:displayText="Burkina Faso" w:value="Burkina Faso"/>
                  <w:listItem w:displayText="Burundi" w:value="Burundi"/>
                  <w:listItem w:displayText="Cabo Verde" w:value="Cabo Verde"/>
                  <w:listItem w:displayText="Cameroon" w:value="Cameroon"/>
                  <w:listItem w:displayText="Democratic Republic of the Congo" w:value="Democratic Republic of the Congo"/>
                  <w:listItem w:displayText="Republic of the Congo" w:value="Republic of the Congo"/>
                  <w:listItem w:displayText="Eswatini" w:value="Eswatini"/>
                  <w:listItem w:displayText="Ethiopia" w:value="Ethiopia"/>
                  <w:listItem w:displayText="Gabon" w:value="Gabon"/>
                  <w:listItem w:displayText="The Gambia" w:value="The Gambia"/>
                  <w:listItem w:displayText="Ghana" w:value="Ghana"/>
                  <w:listItem w:displayText="Kenya" w:value="Kenya"/>
                  <w:listItem w:displayText="Lesotho" w:value="Lesotho"/>
                  <w:listItem w:displayText="Liberia" w:value="Liberia"/>
                  <w:listItem w:displayText="Malawi" w:value="Malawi"/>
                  <w:listItem w:displayText="Mali" w:value="Mali"/>
                  <w:listItem w:displayText="Mozambique" w:value="Mozambique"/>
                  <w:listItem w:displayText="Niger" w:value="Niger"/>
                  <w:listItem w:displayText="Nigeria" w:value="Nigeria"/>
                  <w:listItem w:displayText="Rwanda" w:value="Rwanda"/>
                  <w:listItem w:displayText="Senegal" w:value="Senegal"/>
                  <w:listItem w:displayText="Sierra Leone" w:value="Sierra Leone"/>
                  <w:listItem w:displayText="South Sudan" w:value="South Sudan"/>
                  <w:listItem w:displayText="Togo" w:value="Togo"/>
                  <w:listItem w:displayText="United Republic of Tanzania" w:value="United Republic of Tanzania"/>
                  <w:listItem w:displayText="Uganda" w:value="Uganda"/>
                  <w:listItem w:displayText="Zambia" w:value="Zambia"/>
                  <w:listItem w:displayText="Zimbabwe" w:value="Zimbabwe"/>
                </w:dropDownList>
              </w:sdtPr>
              <w:sdtContent>
                <w:r>
                  <w:rPr>
                    <w:rFonts w:ascii="Aptos" w:hAnsi="Aptos"/>
                    <w:sz w:val="16"/>
                    <w:color w:val="5A6069"/>
                  </w:rPr>
                  <w:t>Choose</w:t>
                </w:r>
              </w:sdtContent>
            </w:sdt>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Reporting quarter</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Quarter"/>
                <w:tag w:val="dd_quarter"/>
                <w:id w:val="700002"/>
                <w:dropDownList>
                  <w:listItem w:displayText="Q1 (January - March)" w:value="Q1 (January - March)"/>
                  <w:listItem w:displayText="Q2 (April - June)" w:value="Q2 (April - June)"/>
                  <w:listItem w:displayText="Q3 (July - September)" w:value="Q3 (July - September)"/>
                  <w:listItem w:displayText="Q4 (October - December)" w:value="Q4 (October - December)"/>
                </w:dropDownList>
              </w:sdtPr>
              <w:sdtContent>
                <w:r>
                  <w:rPr>
                    <w:rFonts w:ascii="Aptos" w:hAnsi="Aptos"/>
                    <w:sz w:val="16"/>
                    <w:color w:val="5A6069"/>
                  </w:rPr>
                  <w:t>Choose</w:t>
                </w:r>
              </w:sdtContent>
            </w:sdt>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Year</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Year"/>
                <w:tag w:val="dd_year"/>
                <w:id w:val="700003"/>
                <w:dropDownList>
                  <w:listItem w:displayText="2026" w:value="2026"/>
                  <w:listItem w:displayText="2027" w:value="2027"/>
                  <w:listItem w:displayText="2028" w:value="2028"/>
                  <w:listItem w:displayText="2029" w:value="2029"/>
                </w:dropDownList>
              </w:sdtPr>
              <w:sdtContent>
                <w:r>
                  <w:rPr>
                    <w:rFonts w:ascii="Aptos" w:hAnsi="Aptos"/>
                    <w:sz w:val="16"/>
                    <w:color w:val="5A6069"/>
                  </w:rPr>
                  <w:t>Choose</w:t>
                </w:r>
              </w:sdtContent>
            </w:sdt>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Closing date of the quarter</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NPO / WHO Country Office focal point</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National programme focal point</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M&amp;E focal point</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Date completed</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Is this the country's first return on this template?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04"/>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r>
    </w:tbl>
    <w:p>
      <w:pPr>
        <w:spacing w:after="11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National context</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Count</w:t>
            </w:r>
          </w:p>
        </w:tc>
      </w:tr>
      <w:tr>
        <w:tc>
          <w:tcPr>
            <w:tcW w:type="dxa" w:w="5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Health districts in the country</w:t>
            </w:r>
          </w:p>
        </w:tc>
        <w:tc>
          <w:tcPr>
            <w:tcW w:type="dxa" w:w="5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First-referral / district hospitals in the country</w:t>
            </w:r>
          </w:p>
        </w:tc>
        <w:tc>
          <w:tcPr>
            <w:tcW w:type="dxa" w:w="5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Health districts where PEN-Plus services are offered</w:t>
            </w:r>
          </w:p>
        </w:tc>
        <w:tc>
          <w:tcPr>
            <w:tcW w:type="dxa" w:w="5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11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Facility returns this quarter</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Count</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PEN-Plus facilities expected to report this quarter</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submitting a complete return</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submitting a partial return</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submitting no return</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whose return arrived by the national deadline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Reporting completeness and timeliness are calculated by the Regional Office from these counts. Both are part of indicator 5.1.</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1.  Governance and leadership</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Focus area 1.  Q4</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4500"/>
        <w:gridCol w:w="1700"/>
        <w:gridCol w:w="1100"/>
        <w:gridCol w:w="1986"/>
      </w:tblGrid>
      <w:tr>
        <w:trPr>
          <w:tblHeader/>
        </w:trPr>
        <w:tc>
          <w:tcPr>
            <w:tcW w:type="dxa" w:w="82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Code</w:t>
            </w:r>
          </w:p>
        </w:tc>
        <w:tc>
          <w:tcPr>
            <w:tcW w:type="dxa" w:w="45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Results Framework indicator</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1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Year achieved</w:t>
            </w:r>
          </w:p>
        </w:tc>
        <w:tc>
          <w:tcPr>
            <w:tcW w:type="dxa" w:w="198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Document / evidence</w:t>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7"/>
                <w:szCs w:val="17"/>
              </w:rPr>
              <w:t xml:space="preserve">1.1</w:t>
            </w:r>
          </w:p>
        </w:tc>
        <w:tc>
          <w:tcPr>
            <w:tcW w:type="dxa" w:w="4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PEN-Plus integrated into the national NCD strategy and UHC agenda</w:t>
            </w:r>
          </w:p>
        </w:tc>
        <w:tc>
          <w:tcPr>
            <w:tcW w:type="dxa" w:w="17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2"/>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7"/>
                <w:szCs w:val="17"/>
              </w:rPr>
              <w:t xml:space="preserve">1.2</w:t>
            </w:r>
          </w:p>
        </w:tc>
        <w:tc>
          <w:tcPr>
            <w:tcW w:type="dxa" w:w="4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Integrated or stand-alone PEN-Plus Plan developed, approved, launched and under implementation</w:t>
            </w:r>
          </w:p>
        </w:tc>
        <w:tc>
          <w:tcPr>
            <w:tcW w:type="dxa" w:w="17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3"/>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7"/>
                <w:szCs w:val="17"/>
              </w:rPr>
              <w:t xml:space="preserve">1.3</w:t>
            </w:r>
          </w:p>
        </w:tc>
        <w:tc>
          <w:tcPr>
            <w:tcW w:type="dxa" w:w="4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Costed National Operational Plan (NOP) on PEN-Plus developed and launched</w:t>
            </w:r>
          </w:p>
        </w:tc>
        <w:tc>
          <w:tcPr>
            <w:tcW w:type="dxa" w:w="17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4"/>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A Yes without a document title is not counted. Under development is a valid answer and is reported as progress. Complete in Q4, or earlier if a status changed.</w:t>
      </w:r>
    </w:p>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Activities this quarter under focus area 1, governance</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806"/>
        <w:gridCol w:w="1700"/>
        <w:gridCol w:w="3600"/>
      </w:tblGrid>
      <w:tr>
        <w:trPr>
          <w:tblHeader/>
        </w:trPr>
        <w:tc>
          <w:tcPr>
            <w:tcW w:type="dxa" w:w="4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Activity (as named in the country workplan)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3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Output or evidence</w:t>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3"/>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4"/>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5"/>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6"/>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The main activities of the quarter under this focus area. This is what the Regional Office reports to partners, activity by activity.</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2.  Service delivery and disease management</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Focus area 2</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2.1</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National guidelines / protocols adapted, validated and disseminated</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Q4, or when status changes</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106"/>
        <w:gridCol w:w="1750"/>
        <w:gridCol w:w="1750"/>
        <w:gridCol w:w="1100"/>
        <w:gridCol w:w="2400"/>
      </w:tblGrid>
      <w:tr>
        <w:trPr>
          <w:tblHeader/>
        </w:trPr>
        <w:tc>
          <w:tcPr>
            <w:tcW w:type="dxa" w:w="3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Condition</w:t>
            </w:r>
          </w:p>
        </w:tc>
        <w:tc>
          <w:tcPr>
            <w:tcW w:type="dxa" w:w="175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Adapted and validated</w:t>
            </w:r>
          </w:p>
        </w:tc>
        <w:tc>
          <w:tcPr>
            <w:tcW w:type="dxa" w:w="175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Disseminated to all PEN-Plus sites</w:t>
            </w:r>
          </w:p>
        </w:tc>
        <w:tc>
          <w:tcPr>
            <w:tcW w:type="dxa" w:w="1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Year</w:t>
            </w:r>
          </w:p>
        </w:tc>
        <w:tc>
          <w:tcPr>
            <w:tcW w:type="dxa" w:w="24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Document title</w:t>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Type 1 diabetes</w:t>
            </w:r>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5"/>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6"/>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Sickle cell disease</w:t>
            </w:r>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7"/>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8"/>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Rheumatic heart disease</w:t>
            </w:r>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39"/>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40"/>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Severe hypertension</w:t>
            </w:r>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41"/>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42"/>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Other PEN-Plus condition (specify)</w:t>
            </w:r>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43"/>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75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Status"/>
                <w:tag w:val="dd_status"/>
                <w:id w:val="700044"/>
                <w:dropDownList>
                  <w:listItem w:displayText="Yes" w:value="Yes"/>
                  <w:listItem w:displayText="Under development" w:value="Under development"/>
                  <w:listItem w:displayText="No" w:value="No"/>
                  <w:listItem w:displayText="Not reported" w:value="Not reported"/>
                </w:dropDownList>
              </w:sdtPr>
              <w:sdtContent>
                <w:r>
                  <w:rPr>
                    <w:rFonts w:ascii="Aptos" w:hAnsi="Aptos"/>
                    <w:sz w:val="16"/>
                    <w:color w:val="5A6069"/>
                  </w:rPr>
                  <w:t>Choose</w:t>
                </w:r>
              </w:sdtContent>
            </w:sdt>
          </w:p>
        </w:tc>
        <w:tc>
          <w:tcPr>
            <w:tcW w:type="dxa" w:w="1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2.2</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Secondary-level facilities assessed for readiness (AFRO readiness tool)</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Q4, or when an assessment is done</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506"/>
        <w:gridCol w:w="2300"/>
        <w:gridCol w:w="2300"/>
      </w:tblGrid>
      <w:tr>
        <w:trPr>
          <w:tblHeader/>
        </w:trPr>
        <w:tc>
          <w:tcPr>
            <w:tcW w:type="dxa" w:w="55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Measure</w:t>
            </w:r>
          </w:p>
        </w:tc>
        <w:tc>
          <w:tcPr>
            <w:tcW w:type="dxa" w:w="23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This quarter</w:t>
            </w:r>
          </w:p>
        </w:tc>
        <w:tc>
          <w:tcPr>
            <w:tcW w:type="dxa" w:w="23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Year to date</w:t>
            </w:r>
          </w:p>
        </w:tc>
      </w:tr>
      <w:tr>
        <w:tc>
          <w:tcPr>
            <w:tcW w:type="dxa" w:w="5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assessed with the AFRO readiness tool</w:t>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Classified Green (80% and above, all critical requirements met)</w:t>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Classified Amber (60 to 79%)</w:t>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Classified Red (below 60%, or a critical requirement failed)</w:t>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The classes are those of the WHO AFRO PEN-Plus Facility Readiness Assessment Tool.</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2.3</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Facilities initiating and actively providing PEN-Plus services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Measure</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Count</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that have initiated PEN-Plus services (cumulative)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Of these, facilities active during the quarter</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Must match the facilities listed in Annex A.</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2.4</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Facilities achieving PEN-Plus quality standards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Q4, or when an assessment is done</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Measure</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Count</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assessed with the PEN-Plus quality checklist</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scoring 80% or more AND meeting all critical criteria</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The proportion is calculated over facilities assessed, so that a facility not yet assessed is not counted as failing.</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2.5</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Unique patients ever enrolled, four tracer conditions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Tracer condition</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Ever enrolled, cumulative</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Type 1 diabetes</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Sickle cell disease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Rheumatic heart disease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Severe hypertension</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TOTAL, four tracer conditions</w:t>
            </w:r>
          </w:p>
        </w:tc>
        <w:tc>
          <w:tcPr>
            <w:tcW w:type="dxa" w:w="5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Item</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Response</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How was the count deduplicated?</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Deduplication"/>
                <w:tag w:val="dd_dedup"/>
                <w:id w:val="700107"/>
                <w:dropDownList>
                  <w:listItem w:displayText="Unique patient identifier" w:value="Unique patient identifier"/>
                  <w:listItem w:displayText="Name and date of birth" w:value="Name and date of birth"/>
                  <w:listItem w:displayText="Partially" w:value="Partially"/>
                  <w:listItem w:displayText="Not deduplicated" w:value="Not deduplicated"/>
                  <w:listItem w:displayText="Not known" w:value="Not known"/>
                </w:dropDownList>
              </w:sdtPr>
              <w:sdtContent>
                <w:r>
                  <w:rPr>
                    <w:rFonts w:ascii="Aptos" w:hAnsi="Aptos"/>
                    <w:sz w:val="16"/>
                    <w:color w:val="5A6069"/>
                  </w:rPr>
                  <w:t>Choose</w:t>
                </w:r>
              </w:sdtContent>
            </w:sdt>
          </w:p>
        </w:tc>
      </w:tr>
    </w:tbl>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2.6</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Patients active in care, and twelve-month retention</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Active: every quarter.  Retention: Q4</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706"/>
        <w:gridCol w:w="2200"/>
        <w:gridCol w:w="2100"/>
        <w:gridCol w:w="2100"/>
      </w:tblGrid>
      <w:tr>
        <w:trPr>
          <w:tblHeader/>
        </w:trPr>
        <w:tc>
          <w:tcPr>
            <w:tcW w:type="dxa" w:w="37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Tracer condition</w:t>
            </w:r>
          </w:p>
        </w:tc>
        <w:tc>
          <w:tcPr>
            <w:tcW w:type="dxa" w:w="22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Active in care at end of quarter</w:t>
            </w:r>
          </w:p>
        </w:tc>
        <w:tc>
          <w:tcPr>
            <w:tcW w:type="dxa" w:w="2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Retention numerator (Q4)</w:t>
            </w:r>
          </w:p>
        </w:tc>
        <w:tc>
          <w:tcPr>
            <w:tcW w:type="dxa" w:w="2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Retention denominator (Q4)</w:t>
            </w:r>
          </w:p>
        </w:tc>
      </w:tr>
      <w:tr>
        <w:tc>
          <w:tcPr>
            <w:tcW w:type="dxa" w:w="37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Type 1 diabetes</w:t>
            </w:r>
          </w:p>
        </w:tc>
        <w:tc>
          <w:tcPr>
            <w:tcW w:type="dxa" w:w="22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7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Sickle cell disease</w:t>
            </w:r>
          </w:p>
        </w:tc>
        <w:tc>
          <w:tcPr>
            <w:tcW w:type="dxa" w:w="22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7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Rheumatic heart disease</w:t>
            </w:r>
          </w:p>
        </w:tc>
        <w:tc>
          <w:tcPr>
            <w:tcW w:type="dxa" w:w="22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7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Severe hypertension</w:t>
            </w:r>
          </w:p>
        </w:tc>
        <w:tc>
          <w:tcPr>
            <w:tcW w:type="dxa" w:w="22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7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TOTAL, four tracer conditions</w:t>
            </w:r>
          </w:p>
        </w:tc>
        <w:tc>
          <w:tcPr>
            <w:tcW w:type="dxa" w:w="22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Item</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Response</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Loss to follow-up rule applied to the retention figures</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Loss to follow-up rule"/>
                <w:tag w:val="dd_rule"/>
                <w:id w:val="700082"/>
                <w:dropDownList>
                  <w:listItem w:displayText="Regional rule applied (90 days)" w:value="Regional rule applied (90 days)"/>
                  <w:listItem w:displayText="60 days" w:value="60 days"/>
                  <w:listItem w:displayText="Other national rule" w:value="Other national rule"/>
                  <w:listItem w:displayText="No rule defined" w:value="No rule defined"/>
                </w:dropDownList>
              </w:sdtPr>
              <w:sdtContent>
                <w:r>
                  <w:rPr>
                    <w:rFonts w:ascii="Aptos" w:hAnsi="Aptos"/>
                    <w:sz w:val="16"/>
                    <w:color w:val="5A6069"/>
                  </w:rPr>
                  <w:t>Choose</w:t>
                </w:r>
              </w:sdtContent>
            </w:sdt>
          </w:p>
        </w:tc>
      </w:tr>
    </w:tbl>
    <w:p>
      <w:pPr>
        <w:spacing w:after="40" w:before="30"/>
        <w:jc w:val="left"/>
      </w:pPr>
      <w:r>
        <w:rPr>
          <w:rFonts w:ascii="Aptos" w:cs="Aptos" w:eastAsia="Aptos" w:hAnsi="Aptos"/>
          <w:b w:val="false"/>
          <w:bCs w:val="false"/>
          <w:i w:val="false"/>
          <w:iCs w:val="false"/>
          <w:caps w:val="false"/>
          <w:color w:val="5A6069"/>
          <w:sz w:val="16"/>
          <w:szCs w:val="16"/>
        </w:rPr>
        <w:t xml:space="preserve">Only retention built on the regional 90-day rule enters the regional aggregate.</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Optional: patient detail, only where your system produces it</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Optional</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6"/>
        <w:gridCol w:w="1460"/>
        <w:gridCol w:w="1460"/>
        <w:gridCol w:w="1460"/>
        <w:gridCol w:w="1460"/>
        <w:gridCol w:w="1460"/>
      </w:tblGrid>
      <w:tr>
        <w:trPr>
          <w:tblHeader/>
        </w:trPr>
        <w:tc>
          <w:tcPr>
            <w:tcW w:type="dxa" w:w="2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Condition</w:t>
            </w:r>
          </w:p>
        </w:tc>
        <w:tc>
          <w:tcPr>
            <w:tcW w:type="dxa" w:w="146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Newly enrolled this quarter</w:t>
            </w:r>
          </w:p>
        </w:tc>
        <w:tc>
          <w:tcPr>
            <w:tcW w:type="dxa" w:w="146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Lost to follow-up</w:t>
            </w:r>
          </w:p>
        </w:tc>
        <w:tc>
          <w:tcPr>
            <w:tcW w:type="dxa" w:w="146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Transferred out</w:t>
            </w:r>
          </w:p>
        </w:tc>
        <w:tc>
          <w:tcPr>
            <w:tcW w:type="dxa" w:w="146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Died</w:t>
            </w:r>
          </w:p>
        </w:tc>
        <w:tc>
          <w:tcPr>
            <w:tcW w:type="dxa" w:w="146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Stopped treatment</w:t>
            </w:r>
          </w:p>
        </w:tc>
      </w:tr>
      <w:tr>
        <w:tc>
          <w:tcPr>
            <w:tcW w:type="dxa" w:w="2806"/>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Type 1 diabetes</w:t>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2806"/>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Sickle cell disease</w:t>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2806"/>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Rheumatic heart disease</w:t>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2806"/>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Severe hypertension</w:t>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2806"/>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Patients with other severe NCDs managed in PEN-Plus clinics</w:t>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60"/>
            <w:tcBorders>
              <w:top w:val="single" w:color="A8ADB4" w:sz="4"/>
              <w:left w:val="single" w:color="A8ADB4" w:sz="4"/>
              <w:bottom w:val="single" w:color="A8ADB4" w:sz="4"/>
              <w:right w:val="single" w:color="A8ADB4" w:sz="4"/>
            </w:tcBorders>
            <w:shd w:fill="F7F7F5"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Not required. Most national systems do not yet produce these figures; a blank here is read as not collected and is never counted against the country.</w:t>
      </w:r>
    </w:p>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Activities this quarter under focus area 2, service delivery</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806"/>
        <w:gridCol w:w="1700"/>
        <w:gridCol w:w="3600"/>
      </w:tblGrid>
      <w:tr>
        <w:trPr>
          <w:tblHeader/>
        </w:trPr>
        <w:tc>
          <w:tcPr>
            <w:tcW w:type="dxa" w:w="4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Activity (as named in the country workplan)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3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Output or evidence</w:t>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7"/>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8"/>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89"/>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0"/>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The main activities of the quarter under this focus area. This is what the Regional Office reports to partners, activity by activity.</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3.  Capacity building and workforce development</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Focus area 3</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3.1</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People completing a PEN-Plus WHO Academy course</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Pre-filled by WHO AFRO</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106"/>
        <w:gridCol w:w="2000"/>
        <w:gridCol w:w="2000"/>
        <w:gridCol w:w="2000"/>
      </w:tblGrid>
      <w:tr>
        <w:trPr>
          <w:tblHeader/>
        </w:trPr>
        <w:tc>
          <w:tcPr>
            <w:tcW w:type="dxa" w:w="4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Measure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Female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Male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Not stated</w:t>
            </w:r>
          </w:p>
        </w:tc>
      </w:tr>
      <w:tr>
        <w:tc>
          <w:tcPr>
            <w:tcW w:type="dxa" w:w="4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People completing a PEN-Plus WHO Academy course, cumulative</w:t>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Taken from the WHO Academy information system by the Regional Office. Correct it only if you know it to be wrong.</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3.2</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Health workers trained as Trainers of Trainers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106"/>
        <w:gridCol w:w="2000"/>
        <w:gridCol w:w="2000"/>
        <w:gridCol w:w="2000"/>
      </w:tblGrid>
      <w:tr>
        <w:trPr>
          <w:tblHeader/>
        </w:trPr>
        <w:tc>
          <w:tcPr>
            <w:tcW w:type="dxa" w:w="4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Cadre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Female, cumulative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Male, cumulative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Not stated</w:t>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Medical doctors / specialists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Clinical officers / associates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Nurses / midwives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Pharmacy / laboratory staff</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Other cadres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TOTAL</w:t>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3.3</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Health workers trained in PEN-Plus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106"/>
        <w:gridCol w:w="2000"/>
        <w:gridCol w:w="2000"/>
        <w:gridCol w:w="2000"/>
      </w:tblGrid>
      <w:tr>
        <w:trPr>
          <w:tblHeader/>
        </w:trPr>
        <w:tc>
          <w:tcPr>
            <w:tcW w:type="dxa" w:w="4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Cadre</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Female, this quarter</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Male, this quarter</w:t>
            </w:r>
          </w:p>
        </w:tc>
        <w:tc>
          <w:tcPr>
            <w:tcW w:type="dxa" w:w="2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Not stated</w:t>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Medical doctors / specialists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Clinical officers / associates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Nurses / midwives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Pharmacy / laboratory staff</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Other cadres</w:t>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1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TOTAL</w:t>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0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Enter only those trained this quarter. The annual total is built by the Regional Office from the four returns.</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3.4</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Facilities with an active clinical mentorship programme</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Measure</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Count</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receiving at least one documented mentorship visit this quarter</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providing PEN-Plus services (should equal 2.3, active)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Activities this quarter under focus area 3, workforce</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806"/>
        <w:gridCol w:w="1700"/>
        <w:gridCol w:w="3600"/>
      </w:tblGrid>
      <w:tr>
        <w:trPr>
          <w:tblHeader/>
        </w:trPr>
        <w:tc>
          <w:tcPr>
            <w:tcW w:type="dxa" w:w="4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Activity (as named in the country workplan)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3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Output or evidence</w:t>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1"/>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2"/>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3"/>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4"/>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The main activities of the quarter under this focus area. This is what the Regional Office reports to partners, activity by activity.</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4.  Health financing, medicines and service continuity</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Focus area 4</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4.1</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Annual resource-mobilization round table</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Q4, or when held</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506"/>
        <w:gridCol w:w="1800"/>
        <w:gridCol w:w="1500"/>
        <w:gridCol w:w="2300"/>
      </w:tblGrid>
      <w:tr>
        <w:trPr>
          <w:tblHeader/>
        </w:trPr>
        <w:tc>
          <w:tcPr>
            <w:tcW w:type="dxa" w:w="45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Item</w:t>
            </w:r>
          </w:p>
        </w:tc>
        <w:tc>
          <w:tcPr>
            <w:tcW w:type="dxa" w:w="18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Response</w:t>
            </w:r>
          </w:p>
        </w:tc>
        <w:tc>
          <w:tcPr>
            <w:tcW w:type="dxa" w:w="15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Date</w:t>
            </w:r>
          </w:p>
        </w:tc>
        <w:tc>
          <w:tcPr>
            <w:tcW w:type="dxa" w:w="23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Meeting report or document title</w:t>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Round table held to mobilize resources for PEN-Plus or broader NCD services</w:t>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05"/>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A PEN-Plus or severe NCD line exists in the government budget</w:t>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06"/>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Tracer medicines and diagnostics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506"/>
        <w:gridCol w:w="2800"/>
        <w:gridCol w:w="2800"/>
      </w:tblGrid>
      <w:tr>
        <w:trPr>
          <w:tblHeader/>
        </w:trPr>
        <w:tc>
          <w:tcPr>
            <w:tcW w:type="dxa" w:w="45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Tracer item</w:t>
            </w:r>
          </w:p>
        </w:tc>
        <w:tc>
          <w:tcPr>
            <w:tcW w:type="dxa" w:w="28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Availability across PEN-Plus sites</w:t>
            </w:r>
          </w:p>
        </w:tc>
        <w:tc>
          <w:tcPr>
            <w:tcW w:type="dxa" w:w="28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Facilities with at least one day of stock-out this quarter</w:t>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Insulin</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45"/>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Insulin syringes, pens or needles</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46"/>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Blood glucose test strips</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47"/>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Hydroxyurea</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48"/>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Benzathine benzylpenicillin</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49"/>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Sickle cell rapid or confirmatory tests</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50"/>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HbA1c testing</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51"/>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5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Echocardiography or ultrasound access</w:t>
            </w:r>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vailability"/>
                <w:tag w:val="dd_avail"/>
                <w:id w:val="700052"/>
                <w:dropDownList>
                  <w:listItem w:displayText="Always available" w:value="Always available"/>
                  <w:listItem w:displayText="Sometimes available" w:value="Sometimes available"/>
                  <w:listItem w:displayText="Never available" w:value="Never available"/>
                  <w:listItem w:displayText="Not reported" w:value="Not reported"/>
                </w:dropDownList>
              </w:sdtPr>
              <w:sdtContent>
                <w:r>
                  <w:rPr>
                    <w:rFonts w:ascii="Aptos" w:hAnsi="Aptos"/>
                    <w:sz w:val="16"/>
                    <w:color w:val="5A6069"/>
                  </w:rPr>
                  <w:t>Choose</w:t>
                </w:r>
              </w:sdtContent>
            </w:sdt>
          </w:p>
        </w:tc>
        <w:tc>
          <w:tcPr>
            <w:tcW w:type="dxa" w:w="2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Activities this quarter under focus area 4, financing and supplies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806"/>
        <w:gridCol w:w="1700"/>
        <w:gridCol w:w="3600"/>
      </w:tblGrid>
      <w:tr>
        <w:trPr>
          <w:tblHeader/>
        </w:trPr>
        <w:tc>
          <w:tcPr>
            <w:tcW w:type="dxa" w:w="4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Activity (as named in the country workplan)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3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Output or evidence</w:t>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5"/>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6"/>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7"/>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8"/>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The main activities of the quarter under this focus area. This is what the Regional Office reports to partners, activity by activity.</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5.  Health information, monitoring and data quality</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Focus area 5</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5.1</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PEN-Plus indicators integrated into the national HMIS / DHIS2</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Integration: Q4</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Item</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Response</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Extent of integration into the national HMIS / DHIS2</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Integration"/>
                <w:tag w:val="dd_his"/>
                <w:id w:val="700058"/>
                <w:dropDownList>
                  <w:listItem w:displayText="Fully integrated" w:value="Fully integrated"/>
                  <w:listItem w:displayText="Partially integrated" w:value="Partially integrated"/>
                  <w:listItem w:displayText="Not integrated" w:value="Not integrated"/>
                </w:dropDownList>
              </w:sdtPr>
              <w:sdtContent>
                <w:r>
                  <w:rPr>
                    <w:rFonts w:ascii="Aptos" w:hAnsi="Aptos"/>
                    <w:sz w:val="16"/>
                    <w:color w:val="5A6069"/>
                  </w:rPr>
                  <w:t>Choose</w:t>
                </w:r>
              </w:sdtContent>
            </w:sdt>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Number of PEN-Plus indicators configured</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At least one full reporting period received through the national system</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07"/>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Frequency of data collection at first-referral level</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requency"/>
                <w:tag w:val="dd_freq"/>
                <w:id w:val="700059"/>
                <w:dropDownList>
                  <w:listItem w:displayText="Monthly" w:value="Monthly"/>
                  <w:listItem w:displayText="Quarterly" w:value="Quarterly"/>
                  <w:listItem w:displayText="Annually" w:value="Annually"/>
                  <w:listItem w:displayText="Not routinely collected" w:value="Not routinely collected"/>
                </w:dropDownList>
              </w:sdtPr>
              <w:sdtContent>
                <w:r>
                  <w:rPr>
                    <w:rFonts w:ascii="Aptos" w:hAnsi="Aptos"/>
                    <w:sz w:val="16"/>
                    <w:color w:val="5A6069"/>
                  </w:rPr>
                  <w:t>Choose</w:t>
                </w:r>
              </w:sdtContent>
            </w:sdt>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Frequency of data collection at primary care level, where applicable</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requency"/>
                <w:tag w:val="dd_freq"/>
                <w:id w:val="700060"/>
                <w:dropDownList>
                  <w:listItem w:displayText="Monthly" w:value="Monthly"/>
                  <w:listItem w:displayText="Quarterly" w:value="Quarterly"/>
                  <w:listItem w:displayText="Annually" w:value="Annually"/>
                  <w:listItem w:displayText="Not routinely collected" w:value="Not routinely collected"/>
                </w:dropDownList>
              </w:sdtPr>
              <w:sdtContent>
                <w:r>
                  <w:rPr>
                    <w:rFonts w:ascii="Aptos" w:hAnsi="Aptos"/>
                    <w:sz w:val="16"/>
                    <w:color w:val="5A6069"/>
                  </w:rPr>
                  <w:t>Choose</w:t>
                </w:r>
              </w:sdtContent>
            </w:sdt>
          </w:p>
        </w:tc>
      </w:tr>
    </w:tbl>
    <w:p>
      <w:pPr>
        <w:spacing w:after="85" w:before="40"/>
        <w:jc w:val="left"/>
      </w:pPr>
      <w:r>
        <w:rPr>
          <w:rFonts w:ascii="Aptos" w:cs="Aptos" w:eastAsia="Aptos" w:hAnsi="Aptos"/>
          <w:b w:val="false"/>
          <w:bCs w:val="false"/>
          <w:i w:val="false"/>
          <w:iCs w:val="false"/>
          <w:caps w:val="false"/>
          <w:color w:val="5A6069"/>
          <w:sz w:val="17"/>
          <w:szCs w:val="17"/>
        </w:rPr>
        <w:t xml:space="preserve">Reporting completeness and timeliness, the other two parts of 5.1, are calculated from section 0.</w:t>
      </w:r>
    </w:p>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6"/>
        <w:gridCol w:w="1700"/>
        <w:gridCol w:w="3400"/>
      </w:tblGrid>
      <w:tr>
        <w:trPr>
          <w:tblHeader/>
        </w:trPr>
        <w:tc>
          <w:tcPr>
            <w:tcW w:type="dxa" w:w="50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Change since the last return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Response</w:t>
            </w:r>
          </w:p>
        </w:tc>
        <w:tc>
          <w:tcPr>
            <w:tcW w:type="dxa" w:w="34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Details</w:t>
            </w:r>
          </w:p>
        </w:tc>
      </w:tr>
      <w:tr>
        <w:tc>
          <w:tcPr>
            <w:tcW w:type="dxa" w:w="50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Change in definitions, source systems or deduplication method since the last return</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08"/>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3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50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Correction to a previously reported figure</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09"/>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3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10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106"/>
        <w:gridCol w:w="1600"/>
        <w:gridCol w:w="2700"/>
        <w:gridCol w:w="2700"/>
      </w:tblGrid>
      <w:tr>
        <w:trPr>
          <w:tblHeader/>
        </w:trPr>
        <w:tc>
          <w:tcPr>
            <w:tcW w:type="dxa" w:w="3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Data domain</w:t>
            </w:r>
          </w:p>
        </w:tc>
        <w:tc>
          <w:tcPr>
            <w:tcW w:type="dxa" w:w="1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Confidence</w:t>
            </w:r>
          </w:p>
        </w:tc>
        <w:tc>
          <w:tcPr>
            <w:tcW w:type="dxa" w:w="2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Main limitation</w:t>
            </w:r>
          </w:p>
        </w:tc>
        <w:tc>
          <w:tcPr>
            <w:tcW w:type="dxa" w:w="2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Evidence held on file</w:t>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Facilities and coverage</w:t>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Confidence"/>
                <w:tag w:val="dd_conf"/>
                <w:id w:val="700053"/>
                <w:dropDownList>
                  <w:listItem w:displayText="High" w:value="High"/>
                  <w:listItem w:displayText="Medium" w:value="Medium"/>
                  <w:listItem w:displayText="Low" w:value="Low"/>
                </w:dropDownList>
              </w:sdtPr>
              <w:sdtContent>
                <w:r>
                  <w:rPr>
                    <w:rFonts w:ascii="Aptos" w:hAnsi="Aptos"/>
                    <w:sz w:val="16"/>
                    <w:color w:val="5A6069"/>
                  </w:rPr>
                  <w:t>Choose</w:t>
                </w:r>
              </w:sdtContent>
            </w:sdt>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Patients</w:t>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Confidence"/>
                <w:tag w:val="dd_conf"/>
                <w:id w:val="700054"/>
                <w:dropDownList>
                  <w:listItem w:displayText="High" w:value="High"/>
                  <w:listItem w:displayText="Medium" w:value="Medium"/>
                  <w:listItem w:displayText="Low" w:value="Low"/>
                </w:dropDownList>
              </w:sdtPr>
              <w:sdtContent>
                <w:r>
                  <w:rPr>
                    <w:rFonts w:ascii="Aptos" w:hAnsi="Aptos"/>
                    <w:sz w:val="16"/>
                    <w:color w:val="5A6069"/>
                  </w:rPr>
                  <w:t>Choose</w:t>
                </w:r>
              </w:sdtContent>
            </w:sdt>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Workforce</w:t>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Confidence"/>
                <w:tag w:val="dd_conf"/>
                <w:id w:val="700055"/>
                <w:dropDownList>
                  <w:listItem w:displayText="High" w:value="High"/>
                  <w:listItem w:displayText="Medium" w:value="Medium"/>
                  <w:listItem w:displayText="Low" w:value="Low"/>
                </w:dropDownList>
              </w:sdtPr>
              <w:sdtContent>
                <w:r>
                  <w:rPr>
                    <w:rFonts w:ascii="Aptos" w:hAnsi="Aptos"/>
                    <w:sz w:val="16"/>
                    <w:color w:val="5A6069"/>
                  </w:rPr>
                  <w:t>Choose</w:t>
                </w:r>
              </w:sdtContent>
            </w:sdt>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Quality and mentorship</w:t>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Confidence"/>
                <w:tag w:val="dd_conf"/>
                <w:id w:val="700056"/>
                <w:dropDownList>
                  <w:listItem w:displayText="High" w:value="High"/>
                  <w:listItem w:displayText="Medium" w:value="Medium"/>
                  <w:listItem w:displayText="Low" w:value="Low"/>
                </w:dropDownList>
              </w:sdtPr>
              <w:sdtContent>
                <w:r>
                  <w:rPr>
                    <w:rFonts w:ascii="Aptos" w:hAnsi="Aptos"/>
                    <w:sz w:val="16"/>
                    <w:color w:val="5A6069"/>
                  </w:rPr>
                  <w:t>Choose</w:t>
                </w:r>
              </w:sdtContent>
            </w:sdt>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Governance, financing, HMIS</w:t>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Confidence"/>
                <w:tag w:val="dd_conf"/>
                <w:id w:val="700057"/>
                <w:dropDownList>
                  <w:listItem w:displayText="High" w:value="High"/>
                  <w:listItem w:displayText="Medium" w:value="Medium"/>
                  <w:listItem w:displayText="Low" w:value="Low"/>
                </w:dropDownList>
              </w:sdtPr>
              <w:sdtContent>
                <w:r>
                  <w:rPr>
                    <w:rFonts w:ascii="Aptos" w:hAnsi="Aptos"/>
                    <w:sz w:val="16"/>
                    <w:color w:val="5A6069"/>
                  </w:rPr>
                  <w:t>Choose</w:t>
                </w:r>
              </w:sdtContent>
            </w:sdt>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2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5" w:before="40"/>
        <w:jc w:val="left"/>
      </w:pPr>
      <w:r>
        <w:rPr>
          <w:rFonts w:ascii="Aptos" w:cs="Aptos" w:eastAsia="Aptos" w:hAnsi="Aptos"/>
          <w:b w:val="false"/>
          <w:bCs w:val="false"/>
          <w:i w:val="false"/>
          <w:iCs w:val="false"/>
          <w:caps w:val="false"/>
          <w:color w:val="5A6069"/>
          <w:sz w:val="17"/>
          <w:szCs w:val="17"/>
        </w:rPr>
        <w:t xml:space="preserve">The Regional Office checks on receipt that Annex A matches 2.3, that the mentorship denominator matches 2.3, that patients ever enrolled are at least as many as those active, and that facility returns add up. In the Excel version these checks run as you type.</w:t>
      </w:r>
    </w:p>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Activities this quarter under focus area 5, health information</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806"/>
        <w:gridCol w:w="1700"/>
        <w:gridCol w:w="3600"/>
      </w:tblGrid>
      <w:tr>
        <w:trPr>
          <w:tblHeader/>
        </w:trPr>
        <w:tc>
          <w:tcPr>
            <w:tcW w:type="dxa" w:w="4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Activity (as named in the country workplan)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3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Output or evidence</w:t>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099"/>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0"/>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1"/>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2"/>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The main activities of the quarter under this focus area. This is what the Regional Office reports to partners, activity by activity.</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6.  Communication and visibility</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Focus area 6.  Q4</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6.1</w:t>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Communication and visibility products</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Q4</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6"/>
        <w:gridCol w:w="1700"/>
        <w:gridCol w:w="1700"/>
        <w:gridCol w:w="3100"/>
      </w:tblGrid>
      <w:tr>
        <w:trPr>
          <w:tblHeader/>
        </w:trPr>
        <w:tc>
          <w:tcPr>
            <w:tcW w:type="dxa" w:w="36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Product type</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Number this year</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Language(s)</w:t>
            </w:r>
          </w:p>
        </w:tc>
        <w:tc>
          <w:tcPr>
            <w:tcW w:type="dxa" w:w="3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Evidence / link or file reference</w:t>
            </w:r>
          </w:p>
        </w:tc>
      </w:tr>
      <w:tr>
        <w:tc>
          <w:tcPr>
            <w:tcW w:type="dxa" w:w="36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Press releases / media stories</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6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Videos / patient stories</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6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Advocacy briefs / reports</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6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Social media campaigns / digital products</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6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Other</w:t>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3606"/>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TOTAL</w:t>
            </w:r>
          </w:p>
        </w:tc>
        <w:tc>
          <w:tcPr>
            <w:tcW w:type="dxa" w:w="17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8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0"/>
        <w:gridCol w:w="5106"/>
      </w:tblGrid>
      <w:tr>
        <w:trPr>
          <w:tblHeader/>
        </w:trPr>
        <w:tc>
          <w:tcPr>
            <w:tcW w:type="dxa" w:w="50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Safeguard</w:t>
            </w:r>
          </w:p>
        </w:tc>
        <w:tc>
          <w:tcPr>
            <w:tcW w:type="dxa" w:w="51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Response</w:t>
            </w:r>
          </w:p>
        </w:tc>
      </w:tr>
      <w:tr>
        <w:tc>
          <w:tcPr>
            <w:tcW w:type="dxa" w:w="50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7"/>
                <w:szCs w:val="17"/>
              </w:rPr>
              <w:t xml:space="preserve">Documented informed consent held for every product featuring a patient (and parent or guardian consent for minors)</w:t>
            </w:r>
          </w:p>
        </w:tc>
        <w:tc>
          <w:tcPr>
            <w:tcW w:type="dxa" w:w="51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0"/>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6986"/>
        <w:gridCol w:w="2300"/>
      </w:tblGrid>
      <w:tr>
        <w:tc>
          <w:tcPr>
            <w:tcW w:type="dxa" w:w="82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8"/>
                <w:szCs w:val="18"/>
              </w:rPr>
              <w:t xml:space="preserve"/>
            </w:r>
          </w:p>
        </w:tc>
        <w:tc>
          <w:tcPr>
            <w:tcW w:type="dxa" w:w="6986"/>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8"/>
                <w:szCs w:val="18"/>
              </w:rPr>
              <w:t xml:space="preserve">Activities this quarter under focus area 6, communication</w:t>
            </w:r>
          </w:p>
        </w:tc>
        <w:tc>
          <w:tcPr>
            <w:tcW w:type="dxa" w:w="2300"/>
            <w:tcBorders>
              <w:top w:val="single" w:color="ECEDEF" w:sz="4"/>
              <w:left w:val="single" w:color="ECEDEF" w:sz="4"/>
              <w:bottom w:val="single" w:color="ECEDEF" w:sz="4"/>
              <w:right w:val="single" w:color="ECEDEF" w:sz="4"/>
            </w:tcBorders>
            <w:shd w:fill="ECEDEF" w:color="auto" w:val="clear"/>
            <w:tcMar>
              <w:top w:type="dxa" w:w="55"/>
              <w:left w:type="dxa" w:w="95"/>
              <w:bottom w:type="dxa" w:w="55"/>
              <w:right w:type="dxa" w:w="95"/>
            </w:tcMar>
            <w:vAlign w:val="center"/>
          </w:tcPr>
          <w:p>
            <w:pPr>
              <w:spacing w:after="40" w:before="40"/>
              <w:jc w:val="right"/>
            </w:pPr>
            <w:r>
              <w:rPr>
                <w:rFonts w:ascii="Aptos" w:cs="Aptos" w:eastAsia="Aptos" w:hAnsi="Aptos"/>
                <w:b w:val="false"/>
                <w:bCs w:val="false"/>
                <w:i w:val="false"/>
                <w:iCs w:val="false"/>
                <w:caps w:val="false"/>
                <w:color w:val="5A6069"/>
                <w:sz w:val="14"/>
                <w:szCs w:val="14"/>
              </w:rPr>
              <w:t xml:space="preserve">Every quarter</w:t>
            </w:r>
          </w:p>
        </w:tc>
      </w:tr>
    </w:tbl>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806"/>
        <w:gridCol w:w="1700"/>
        <w:gridCol w:w="3600"/>
      </w:tblGrid>
      <w:tr>
        <w:trPr>
          <w:tblHeader/>
        </w:trPr>
        <w:tc>
          <w:tcPr>
            <w:tcW w:type="dxa" w:w="48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Activity (as named in the country workplan)</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Status</w:t>
            </w:r>
          </w:p>
        </w:tc>
        <w:tc>
          <w:tcPr>
            <w:tcW w:type="dxa" w:w="3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Output or evidence</w:t>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3"/>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4"/>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5"/>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48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ctivity status"/>
                <w:tag w:val="dd_act"/>
                <w:id w:val="700106"/>
                <w:dropDownList>
                  <w:listItem w:displayText="Completed" w:value="Completed"/>
                  <w:listItem w:displayText="Ongoing" w:value="Ongoing"/>
                  <w:listItem w:displayText="Delayed" w:value="Delayed"/>
                  <w:listItem w:displayText="Not started" w:value="Not started"/>
                  <w:listItem w:displayText="Cancelled" w:value="Cancelled"/>
                </w:dropDownList>
              </w:sdtPr>
              <w:sdtContent>
                <w:r>
                  <w:rPr>
                    <w:rFonts w:ascii="Aptos" w:hAnsi="Aptos"/>
                    <w:sz w:val="16"/>
                    <w:color w:val="5A6069"/>
                  </w:rPr>
                  <w:t>Choose</w:t>
                </w:r>
              </w:sdtContent>
            </w:sdt>
          </w:p>
        </w:tc>
        <w:tc>
          <w:tcPr>
            <w:tcW w:type="dxa" w:w="3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40" w:before="30"/>
        <w:jc w:val="left"/>
      </w:pPr>
      <w:r>
        <w:rPr>
          <w:rFonts w:ascii="Aptos" w:cs="Aptos" w:eastAsia="Aptos" w:hAnsi="Aptos"/>
          <w:b w:val="false"/>
          <w:bCs w:val="false"/>
          <w:i w:val="false"/>
          <w:iCs w:val="false"/>
          <w:caps w:val="false"/>
          <w:color w:val="5A6069"/>
          <w:sz w:val="16"/>
          <w:szCs w:val="16"/>
        </w:rPr>
        <w:t xml:space="preserve">The main activities of the quarter under this focus area. This is what the Regional Office reports to partners, activity by activity.</w:t>
      </w:r>
    </w:p>
    <w:p>
      <w:pPr>
        <w:spacing w:after="22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7.  Quarterly progress summary</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Every quarter</w:t>
            </w:r>
          </w:p>
        </w:tc>
      </w:tr>
    </w:tbl>
    <w:p>
      <w:pPr>
        <w:spacing w:after="85" w:before="40"/>
        <w:jc w:val="left"/>
      </w:pPr>
      <w:r>
        <w:rPr>
          <w:rFonts w:ascii="Aptos" w:cs="Aptos" w:eastAsia="Aptos" w:hAnsi="Aptos"/>
          <w:b w:val="false"/>
          <w:bCs w:val="false"/>
          <w:i w:val="false"/>
          <w:iCs w:val="false"/>
          <w:caps w:val="false"/>
          <w:color w:val="5A6069"/>
          <w:sz w:val="17"/>
          <w:szCs w:val="17"/>
        </w:rPr>
        <w:t xml:space="preserve">The current value of each indicator is taken by the Regional Office from sections 1 to 6; it is not typed again here. The previous verified value is pre-filled. Comment only where the change since the last return needs explaining.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820"/>
        <w:gridCol w:w="4100"/>
        <w:gridCol w:w="1500"/>
        <w:gridCol w:w="3686"/>
      </w:tblGrid>
      <w:tr>
        <w:trPr>
          <w:tblHeader/>
        </w:trPr>
        <w:tc>
          <w:tcPr>
            <w:tcW w:type="dxa" w:w="82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Code</w:t>
            </w:r>
          </w:p>
        </w:tc>
        <w:tc>
          <w:tcPr>
            <w:tcW w:type="dxa" w:w="4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Indicator</w:t>
            </w:r>
          </w:p>
        </w:tc>
        <w:tc>
          <w:tcPr>
            <w:tcW w:type="dxa" w:w="15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Previous verified value</w:t>
            </w:r>
          </w:p>
        </w:tc>
        <w:tc>
          <w:tcPr>
            <w:tcW w:type="dxa" w:w="368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Comment on change</w:t>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1.1</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PEN-Plus integrated into national NCD strategy / UHC</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1.2</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PEN-Plus Plan developed, approved, launched, implemented</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1.3</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Costed National Operational Plan developed and launched</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2.1</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National protocols disseminated</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2.2</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Secondary-level facilities assessed for readiness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2.3</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Facilities initiating PEN-Plus services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2.4</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Facilities achieving PEN-Plus quality standards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2.5</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Unique patients ever enrolled, four tracers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2.6</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Patients active in care; twelve-month retention</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3.1</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People completing PEN-Plus WHO Academy courses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3.2</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Health workers trained as Trainers of Trainers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3.3</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Health workers trained in PEN-Plus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3.4</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Facilities with active mentorship programme</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4.1</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Annual resource-mobilization round table</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5.1</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HMIS integration; reporting completeness and timeliness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82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1A1A1A"/>
                <w:sz w:val="16"/>
                <w:szCs w:val="16"/>
              </w:rPr>
              <w:t xml:space="preserve">6.1</w:t>
            </w:r>
          </w:p>
        </w:tc>
        <w:tc>
          <w:tcPr>
            <w:tcW w:type="dxa" w:w="4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0" w:before="40"/>
              <w:jc w:val="left"/>
            </w:pPr>
            <w:r>
              <w:rPr>
                <w:rFonts w:ascii="Aptos" w:cs="Aptos" w:eastAsia="Aptos" w:hAnsi="Aptos"/>
                <w:b w:val="false"/>
                <w:bCs w:val="false"/>
                <w:i w:val="false"/>
                <w:iCs w:val="false"/>
                <w:caps w:val="false"/>
                <w:color w:val="1A1A1A"/>
                <w:sz w:val="16"/>
                <w:szCs w:val="16"/>
              </w:rPr>
              <w:t xml:space="preserve">Communication and visibility products</w:t>
            </w:r>
          </w:p>
        </w:tc>
        <w:tc>
          <w:tcPr>
            <w:tcW w:type="dxa" w:w="15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68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pageBreakBefore/>
        <w:spacing w:after="0" w:before="0"/>
      </w:pPr>
      <w:r>
        <w:rPr>
          <w:rFonts w:ascii="Aptos" w:cs="Aptos" w:eastAsia="Aptos" w:hAnsi="Aptos"/>
          <w:b w:val="false"/>
          <w:bCs w:val="false"/>
          <w:i w:val="false"/>
          <w:iCs w:val="false"/>
          <w:caps w:val="false"/>
          <w:color w:val="1A1A1A"/>
          <w:sz w:val="2"/>
          <w:szCs w:val="2"/>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506"/>
        <w:gridCol w:w="2600"/>
      </w:tblGrid>
      <w:tr>
        <w:tc>
          <w:tcPr>
            <w:tcW w:type="dxa" w:w="75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8.  Quarterly narrative and management actions</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Every quarter</w:t>
            </w:r>
          </w:p>
        </w:tc>
      </w:tr>
    </w:tbl>
    <w:p>
      <w:pPr>
        <w:spacing w:after="9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single" w:color="A8ADB4" w:sz="4"/>
              <w:left w:val="single" w:color="A8ADB4" w:sz="4"/>
              <w:bottom w:val="single" w:color="A8ADB4" w:sz="4"/>
              <w:right w:val="single" w:color="A8ADB4" w:sz="4"/>
            </w:tcBorders>
            <w:tcMar>
              <w:top w:type="dxa" w:w="55"/>
              <w:left w:type="dxa" w:w="95"/>
              <w:bottom w:type="dxa" w:w="55"/>
              <w:right w:type="dxa" w:w="95"/>
            </w:tcMar>
            <w:vAlign w:val="top"/>
          </w:tcPr>
          <w:p>
            <w:pPr>
              <w:spacing w:after="40" w:before="40"/>
              <w:jc w:val="left"/>
            </w:pPr>
            <w:r>
              <w:rPr>
                <w:rFonts w:ascii="Aptos" w:cs="Aptos" w:eastAsia="Aptos" w:hAnsi="Aptos"/>
                <w:b/>
                <w:bCs/>
                <w:i w:val="false"/>
                <w:iCs w:val="false"/>
                <w:caps w:val="false"/>
                <w:color w:val="1A1A1A"/>
                <w:sz w:val="18"/>
                <w:szCs w:val="18"/>
              </w:rPr>
              <w:t xml:space="preserve">Key achievements of the quarter</w:t>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tc>
      </w:tr>
    </w:tbl>
    <w:p>
      <w:pPr>
        <w:spacing w:after="6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single" w:color="A8ADB4" w:sz="4"/>
              <w:left w:val="single" w:color="A8ADB4" w:sz="4"/>
              <w:bottom w:val="single" w:color="A8ADB4" w:sz="4"/>
              <w:right w:val="single" w:color="A8ADB4" w:sz="4"/>
            </w:tcBorders>
            <w:tcMar>
              <w:top w:type="dxa" w:w="55"/>
              <w:left w:type="dxa" w:w="95"/>
              <w:bottom w:type="dxa" w:w="55"/>
              <w:right w:type="dxa" w:w="95"/>
            </w:tcMar>
            <w:vAlign w:val="top"/>
          </w:tcPr>
          <w:p>
            <w:pPr>
              <w:spacing w:after="40" w:before="40"/>
              <w:jc w:val="left"/>
            </w:pPr>
            <w:r>
              <w:rPr>
                <w:rFonts w:ascii="Aptos" w:cs="Aptos" w:eastAsia="Aptos" w:hAnsi="Aptos"/>
                <w:b/>
                <w:bCs/>
                <w:i w:val="false"/>
                <w:iCs w:val="false"/>
                <w:caps w:val="false"/>
                <w:color w:val="1A1A1A"/>
                <w:sz w:val="18"/>
                <w:szCs w:val="18"/>
              </w:rPr>
              <w:t xml:space="preserve">Main implementation bottlenecks</w:t>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tc>
      </w:tr>
    </w:tbl>
    <w:p>
      <w:pPr>
        <w:spacing w:after="6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single" w:color="A8ADB4" w:sz="4"/>
              <w:left w:val="single" w:color="A8ADB4" w:sz="4"/>
              <w:bottom w:val="single" w:color="A8ADB4" w:sz="4"/>
              <w:right w:val="single" w:color="A8ADB4" w:sz="4"/>
            </w:tcBorders>
            <w:tcMar>
              <w:top w:type="dxa" w:w="55"/>
              <w:left w:type="dxa" w:w="95"/>
              <w:bottom w:type="dxa" w:w="55"/>
              <w:right w:type="dxa" w:w="95"/>
            </w:tcMar>
            <w:vAlign w:val="top"/>
          </w:tcPr>
          <w:p>
            <w:pPr>
              <w:spacing w:after="40" w:before="40"/>
              <w:jc w:val="left"/>
            </w:pPr>
            <w:r>
              <w:rPr>
                <w:rFonts w:ascii="Aptos" w:cs="Aptos" w:eastAsia="Aptos" w:hAnsi="Aptos"/>
                <w:b/>
                <w:bCs/>
                <w:i w:val="false"/>
                <w:iCs w:val="false"/>
                <w:caps w:val="false"/>
                <w:color w:val="1A1A1A"/>
                <w:sz w:val="18"/>
                <w:szCs w:val="18"/>
              </w:rPr>
              <w:t xml:space="preserve">Corrective actions agreed, responsible person and due date</w:t>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tc>
      </w:tr>
    </w:tbl>
    <w:p>
      <w:pPr>
        <w:spacing w:after="6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single" w:color="A8ADB4" w:sz="4"/>
              <w:left w:val="single" w:color="A8ADB4" w:sz="4"/>
              <w:bottom w:val="single" w:color="A8ADB4" w:sz="4"/>
              <w:right w:val="single" w:color="A8ADB4" w:sz="4"/>
            </w:tcBorders>
            <w:tcMar>
              <w:top w:type="dxa" w:w="55"/>
              <w:left w:type="dxa" w:w="95"/>
              <w:bottom w:type="dxa" w:w="55"/>
              <w:right w:type="dxa" w:w="95"/>
            </w:tcMar>
            <w:vAlign w:val="top"/>
          </w:tcPr>
          <w:p>
            <w:pPr>
              <w:spacing w:after="40" w:before="40"/>
              <w:jc w:val="left"/>
            </w:pPr>
            <w:r>
              <w:rPr>
                <w:rFonts w:ascii="Aptos" w:cs="Aptos" w:eastAsia="Aptos" w:hAnsi="Aptos"/>
                <w:b/>
                <w:bCs/>
                <w:i w:val="false"/>
                <w:iCs w:val="false"/>
                <w:caps w:val="false"/>
                <w:color w:val="1A1A1A"/>
                <w:sz w:val="18"/>
                <w:szCs w:val="18"/>
              </w:rPr>
              <w:t xml:space="preserve">Support required from WHO AFRO / partners</w:t>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tc>
      </w:tr>
    </w:tbl>
    <w:p>
      <w:pPr>
        <w:spacing w:after="60" w:before="0"/>
      </w:pPr>
      <w:r>
        <w:rPr>
          <w:rFonts w:ascii="Aptos" w:cs="Aptos" w:eastAsia="Aptos" w:hAnsi="Aptos"/>
          <w:b w:val="false"/>
          <w:bCs w:val="false"/>
          <w:i w:val="false"/>
          <w:iCs w:val="false"/>
          <w:caps w:val="false"/>
          <w:color w:val="1A1A1A"/>
          <w:sz w:val="19"/>
          <w:szCs w:val="19"/>
        </w:rPr>
        <w:t xml:space="preserv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single" w:color="A8ADB4" w:sz="4"/>
              <w:left w:val="single" w:color="A8ADB4" w:sz="4"/>
              <w:bottom w:val="single" w:color="A8ADB4" w:sz="4"/>
              <w:right w:val="single" w:color="A8ADB4" w:sz="4"/>
            </w:tcBorders>
            <w:tcMar>
              <w:top w:type="dxa" w:w="55"/>
              <w:left w:type="dxa" w:w="95"/>
              <w:bottom w:type="dxa" w:w="55"/>
              <w:right w:type="dxa" w:w="95"/>
            </w:tcMar>
            <w:vAlign w:val="top"/>
          </w:tcPr>
          <w:p>
            <w:pPr>
              <w:spacing w:after="40" w:before="40"/>
              <w:jc w:val="left"/>
            </w:pPr>
            <w:r>
              <w:rPr>
                <w:rFonts w:ascii="Aptos" w:cs="Aptos" w:eastAsia="Aptos" w:hAnsi="Aptos"/>
                <w:b/>
                <w:bCs/>
                <w:i w:val="false"/>
                <w:iCs w:val="false"/>
                <w:caps w:val="false"/>
                <w:color w:val="1A1A1A"/>
                <w:sz w:val="18"/>
                <w:szCs w:val="18"/>
              </w:rPr>
              <w:t xml:space="preserve">Major risks or assumptions that changed this quarter</w:t>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p>
            <w:pPr>
              <w:spacing w:after="80" w:before="80"/>
              <w:jc w:val="left"/>
            </w:pPr>
            <w:r>
              <w:rPr>
                <w:rFonts w:ascii="Aptos" w:cs="Aptos" w:eastAsia="Aptos" w:hAnsi="Aptos"/>
                <w:b w:val="false"/>
                <w:bCs w:val="false"/>
                <w:i w:val="false"/>
                <w:iCs w:val="false"/>
                <w:caps w:val="false"/>
                <w:color w:val="1A1A1A"/>
                <w:sz w:val="19"/>
                <w:szCs w:val="19"/>
              </w:rPr>
              <w:t xml:space="preserve"/>
            </w:r>
          </w:p>
        </w:tc>
      </w:tr>
    </w:tbl>
    <w:p>
      <w:pPr>
        <w:spacing w:after="60" w:before="0"/>
      </w:pPr>
      <w:r>
        <w:rPr>
          <w:rFonts w:ascii="Aptos" w:cs="Aptos" w:eastAsia="Aptos" w:hAnsi="Aptos"/>
          <w:b w:val="false"/>
          <w:bCs w:val="false"/>
          <w:i w:val="false"/>
          <w:iCs w:val="false"/>
          <w:caps w:val="false"/>
          <w:color w:val="1A1A1A"/>
          <w:sz w:val="19"/>
          <w:szCs w:val="19"/>
        </w:rPr>
        <w:t xml:space="preserve"/>
      </w:r>
    </w:p>
    <w:p>
      <w:pPr>
        <w:spacing w:after="60" w:before="20"/>
        <w:jc w:val="left"/>
      </w:pPr>
      <w:r>
        <w:rPr>
          <w:rFonts w:ascii="Aptos" w:cs="Aptos" w:eastAsia="Aptos" w:hAnsi="Aptos"/>
          <w:b w:val="false"/>
          <w:bCs w:val="false"/>
          <w:i w:val="false"/>
          <w:iCs w:val="false"/>
          <w:caps w:val="false"/>
          <w:color w:val="5A6069"/>
          <w:sz w:val="16"/>
          <w:szCs w:val="16"/>
        </w:rPr>
        <w:t xml:space="preserve">Activities are reported in their own focus-area section. Use this page for the overall picture of the quarter.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2300"/>
        <w:gridCol w:w="1906"/>
      </w:tblGrid>
      <w:tr>
        <w:trPr>
          <w:tblHeader/>
        </w:trPr>
        <w:tc>
          <w:tcPr>
            <w:tcW w:type="dxa" w:w="33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5"/>
                <w:szCs w:val="15"/>
              </w:rPr>
              <w:t xml:space="preserve">Certification</w:t>
            </w:r>
          </w:p>
        </w:tc>
        <w:tc>
          <w:tcPr>
            <w:tcW w:type="dxa" w:w="2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Name</w:t>
            </w:r>
          </w:p>
        </w:tc>
        <w:tc>
          <w:tcPr>
            <w:tcW w:type="dxa" w:w="23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Signature</w:t>
            </w:r>
          </w:p>
        </w:tc>
        <w:tc>
          <w:tcPr>
            <w:tcW w:type="dxa" w:w="190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5"/>
                <w:szCs w:val="15"/>
              </w:rPr>
              <w:t xml:space="preserve">Date</w:t>
            </w:r>
          </w:p>
        </w:tc>
      </w:tr>
      <w:tr>
        <w:tc>
          <w:tcPr>
            <w:tcW w:type="dxa" w:w="330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National programme focal point</w:t>
            </w:r>
          </w:p>
        </w:tc>
        <w:tc>
          <w:tcPr>
            <w:tcW w:type="dxa" w:w="2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c>
          <w:tcPr>
            <w:tcW w:type="dxa" w:w="19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r>
      <w:tr>
        <w:tc>
          <w:tcPr>
            <w:tcW w:type="dxa" w:w="330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WHO Country Office / NPO</w:t>
            </w:r>
          </w:p>
        </w:tc>
        <w:tc>
          <w:tcPr>
            <w:tcW w:type="dxa" w:w="2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c>
          <w:tcPr>
            <w:tcW w:type="dxa" w:w="19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r>
      <w:tr>
        <w:tc>
          <w:tcPr>
            <w:tcW w:type="dxa" w:w="3300"/>
            <w:tcBorders>
              <w:top w:val="single" w:color="A8ADB4" w:sz="4"/>
              <w:left w:val="single" w:color="A8ADB4" w:sz="4"/>
              <w:bottom w:val="single" w:color="A8ADB4" w:sz="4"/>
              <w:right w:val="single" w:color="A8ADB4" w:sz="4"/>
            </w:tcBorders>
            <w:shd w:fill="F4F5F6"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1A1A1A"/>
                <w:sz w:val="17"/>
                <w:szCs w:val="17"/>
              </w:rPr>
              <w:t xml:space="preserve">M&amp;E focal point (where applicable)</w:t>
            </w:r>
          </w:p>
        </w:tc>
        <w:tc>
          <w:tcPr>
            <w:tcW w:type="dxa" w:w="2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c>
          <w:tcPr>
            <w:tcW w:type="dxa" w:w="2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c>
          <w:tcPr>
            <w:tcW w:type="dxa" w:w="190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190" w:before="190"/>
              <w:jc w:val="left"/>
            </w:pPr>
            <w:r>
              <w:rPr>
                <w:rFonts w:ascii="Aptos" w:cs="Aptos" w:eastAsia="Aptos" w:hAnsi="Aptos"/>
                <w:b w:val="false"/>
                <w:bCs w:val="false"/>
                <w:i w:val="false"/>
                <w:iCs w:val="false"/>
                <w:caps w:val="false"/>
                <w:color w:val="1A1A1A"/>
                <w:sz w:val="19"/>
                <w:szCs w:val="19"/>
              </w:rPr>
              <w:t xml:space="preserve"/>
            </w:r>
          </w:p>
        </w:tc>
      </w:tr>
    </w:tbl>
    <w:p>
      <w:pPr>
        <w:sectPr>
          <w:headerReference w:type="default" r:id="rId7"/>
          <w:headerReference w:type="first" r:id="rId8"/>
          <w:footerReference w:type="default" r:id="rId9"/>
          <w:footerReference w:type="first" r:id="rId10"/>
          <w:pgSz w:w="11906" w:h="16838" w:orient="portrait"/>
          <w:pgMar w:top="900" w:right="900" w:bottom="900" w:left="900" w:header="450" w:footer="450" w:gutter="0"/>
          <w:pgNumType/>
          <w:titlePg/>
          <w:docGrid w:linePitch="360"/>
        </w:sectPr>
      </w:pPr>
    </w:p>
    <w:tbl>
      <w:tblPr>
        <w:tblW w:type="dxa" w:w="15206"/>
        <w:tblBorders>
          <w:top w:val="single" w:color="auto" w:sz="4"/>
          <w:left w:val="single" w:color="auto" w:sz="4"/>
          <w:bottom w:val="single" w:color="auto" w:sz="4"/>
          <w:right w:val="single" w:color="auto" w:sz="4"/>
          <w:insideH w:val="single" w:color="auto" w:sz="4"/>
          <w:insideV w:val="single" w:color="auto" w:sz="4"/>
        </w:tblBorders>
      </w:tblPr>
      <w:tblGrid>
        <w:gridCol w:w="12606"/>
        <w:gridCol w:w="2600"/>
      </w:tblGrid>
      <w:tr>
        <w:tc>
          <w:tcPr>
            <w:tcW w:type="dxa" w:w="12606"/>
            <w:tcBorders>
              <w:top w:val="none" w:color="FFFFFF" w:sz="0"/>
              <w:left w:val="none" w:color="FFFFFF" w:sz="0"/>
              <w:bottom w:val="none" w:color="FFFFFF" w:sz="0"/>
              <w:right w:val="none" w:color="FFFFFF" w:sz="0"/>
            </w:tcBorders>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color w:val="1A1A1A"/>
                <w:spacing w:val="14"/>
                <w:sz w:val="22"/>
                <w:szCs w:val="22"/>
              </w:rPr>
              <w:t xml:space="preserve">Annex A.  Facility register and quarterly facility return</w:t>
            </w:r>
          </w:p>
        </w:tc>
        <w:tc>
          <w:tcPr>
            <w:tcW w:type="dxa" w:w="2600"/>
            <w:tcBorders>
              <w:top w:val="single" w:color="6B7178" w:sz="4"/>
              <w:left w:val="single" w:color="6B7178" w:sz="4"/>
              <w:bottom w:val="single" w:color="6B7178" w:sz="4"/>
              <w:right w:val="single" w:color="6B7178" w:sz="4"/>
            </w:tcBorders>
            <w:shd w:fill="6B7178"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color w:val="FFFFFF"/>
                <w:sz w:val="14"/>
                <w:szCs w:val="14"/>
              </w:rPr>
              <w:t xml:space="preserve">Every quarter</w:t>
            </w:r>
          </w:p>
        </w:tc>
      </w:tr>
    </w:tbl>
    <w:p>
      <w:pPr>
        <w:spacing w:after="85" w:before="40"/>
        <w:jc w:val="left"/>
      </w:pPr>
      <w:r>
        <w:rPr>
          <w:rFonts w:ascii="Aptos" w:cs="Aptos" w:eastAsia="Aptos" w:hAnsi="Aptos"/>
          <w:b w:val="false"/>
          <w:bCs w:val="false"/>
          <w:i w:val="false"/>
          <w:iCs w:val="false"/>
          <w:caps w:val="false"/>
          <w:color w:val="5A6069"/>
          <w:sz w:val="17"/>
          <w:szCs w:val="17"/>
        </w:rPr>
        <w:t xml:space="preserve">One row per PEN-Plus facility. The register is pre-filled after the first return; update it only when a facility changes. The facility return is completed every quarter.</w:t>
      </w:r>
    </w:p>
    <w:p>
      <w:pPr>
        <w:spacing w:after="70" w:before="120"/>
        <w:jc w:val="left"/>
      </w:pPr>
      <w:r>
        <w:rPr>
          <w:rFonts w:ascii="Aptos" w:cs="Aptos" w:eastAsia="Aptos" w:hAnsi="Aptos"/>
          <w:b/>
          <w:bCs/>
          <w:i w:val="false"/>
          <w:iCs w:val="false"/>
          <w:caps w:val="false"/>
          <w:color w:val="1A1A1A"/>
          <w:sz w:val="19"/>
          <w:szCs w:val="19"/>
        </w:rPr>
        <w:t xml:space="preserve">Facility register</w:t>
      </w:r>
    </w:p>
    <w:tbl>
      <w:tblPr>
        <w:tblW w:type="dxa" w:w="15206"/>
        <w:tblBorders>
          <w:top w:val="single" w:color="auto" w:sz="4"/>
          <w:left w:val="single" w:color="auto" w:sz="4"/>
          <w:bottom w:val="single" w:color="auto" w:sz="4"/>
          <w:right w:val="single" w:color="auto" w:sz="4"/>
          <w:insideH w:val="single" w:color="auto" w:sz="4"/>
          <w:insideV w:val="single" w:color="auto" w:sz="4"/>
        </w:tblBorders>
      </w:tblPr>
      <w:tblGrid>
        <w:gridCol w:w="1250"/>
        <w:gridCol w:w="3100"/>
        <w:gridCol w:w="1900"/>
        <w:gridCol w:w="1900"/>
        <w:gridCol w:w="1300"/>
        <w:gridCol w:w="1400"/>
        <w:gridCol w:w="1700"/>
        <w:gridCol w:w="1500"/>
        <w:gridCol w:w="1156"/>
      </w:tblGrid>
      <w:tr>
        <w:trPr>
          <w:tblHeader/>
        </w:trPr>
        <w:tc>
          <w:tcPr>
            <w:tcW w:type="dxa" w:w="125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4"/>
                <w:szCs w:val="14"/>
              </w:rPr>
              <w:t xml:space="preserve">Facility ID</w:t>
            </w:r>
          </w:p>
        </w:tc>
        <w:tc>
          <w:tcPr>
            <w:tcW w:type="dxa" w:w="3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Facility name</w:t>
            </w:r>
          </w:p>
        </w:tc>
        <w:tc>
          <w:tcPr>
            <w:tcW w:type="dxa" w:w="19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Region / province</w:t>
            </w:r>
          </w:p>
        </w:tc>
        <w:tc>
          <w:tcPr>
            <w:tcW w:type="dxa" w:w="19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District</w:t>
            </w:r>
          </w:p>
        </w:tc>
        <w:tc>
          <w:tcPr>
            <w:tcW w:type="dxa" w:w="13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Level</w:t>
            </w:r>
          </w:p>
        </w:tc>
        <w:tc>
          <w:tcPr>
            <w:tcW w:type="dxa" w:w="14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Service start date</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Status</w:t>
            </w:r>
          </w:p>
        </w:tc>
        <w:tc>
          <w:tcPr>
            <w:tcW w:type="dxa" w:w="15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Project-supported?</w:t>
            </w:r>
          </w:p>
        </w:tc>
        <w:tc>
          <w:tcPr>
            <w:tcW w:type="dxa" w:w="115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Conditions managed</w:t>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1"/>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18"/>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2"/>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19"/>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3"/>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0"/>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4"/>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1"/>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5"/>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2"/>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6"/>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3"/>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9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3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4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Facility status"/>
                <w:tag w:val="dd_fstatus"/>
                <w:id w:val="700067"/>
                <w:dropDownList>
                  <w:listItem w:displayText="Active" w:value="Active"/>
                  <w:listItem w:displayText="Initiated this quarter" w:value="Initiated this quarter"/>
                  <w:listItem w:displayText="Suspended" w:value="Suspended"/>
                  <w:listItem w:displayText="Closed" w:value="Closed"/>
                  <w:listItem w:displayText="Not yet initiated" w:value="Not yet initia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4"/>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1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r>
    </w:tbl>
    <w:p>
      <w:pPr>
        <w:spacing w:after="70" w:before="200"/>
        <w:jc w:val="left"/>
      </w:pPr>
      <w:r>
        <w:rPr>
          <w:rFonts w:ascii="Aptos" w:cs="Aptos" w:eastAsia="Aptos" w:hAnsi="Aptos"/>
          <w:b/>
          <w:bCs/>
          <w:i w:val="false"/>
          <w:iCs w:val="false"/>
          <w:caps w:val="false"/>
          <w:color w:val="1A1A1A"/>
          <w:sz w:val="19"/>
          <w:szCs w:val="19"/>
        </w:rPr>
        <w:t xml:space="preserve">Facility return this quarter</w:t>
      </w:r>
    </w:p>
    <w:tbl>
      <w:tblPr>
        <w:tblW w:type="dxa" w:w="15206"/>
        <w:tblBorders>
          <w:top w:val="single" w:color="auto" w:sz="4"/>
          <w:left w:val="single" w:color="auto" w:sz="4"/>
          <w:bottom w:val="single" w:color="auto" w:sz="4"/>
          <w:right w:val="single" w:color="auto" w:sz="4"/>
          <w:insideH w:val="single" w:color="auto" w:sz="4"/>
          <w:insideV w:val="single" w:color="auto" w:sz="4"/>
        </w:tblBorders>
      </w:tblPr>
      <w:tblGrid>
        <w:gridCol w:w="1250"/>
        <w:gridCol w:w="3100"/>
        <w:gridCol w:w="1600"/>
        <w:gridCol w:w="1700"/>
        <w:gridCol w:w="1700"/>
        <w:gridCol w:w="1800"/>
        <w:gridCol w:w="1500"/>
        <w:gridCol w:w="1500"/>
        <w:gridCol w:w="1056"/>
      </w:tblGrid>
      <w:tr>
        <w:trPr>
          <w:tblHeader/>
        </w:trPr>
        <w:tc>
          <w:tcPr>
            <w:tcW w:type="dxa" w:w="125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left"/>
            </w:pPr>
            <w:r>
              <w:rPr>
                <w:rFonts w:ascii="Aptos" w:cs="Aptos" w:eastAsia="Aptos" w:hAnsi="Aptos"/>
                <w:b/>
                <w:bCs/>
                <w:i w:val="false"/>
                <w:iCs w:val="false"/>
                <w:caps w:val="false"/>
                <w:color w:val="FFFFFF"/>
                <w:sz w:val="14"/>
                <w:szCs w:val="14"/>
              </w:rPr>
              <w:t xml:space="preserve">Facility ID</w:t>
            </w:r>
          </w:p>
        </w:tc>
        <w:tc>
          <w:tcPr>
            <w:tcW w:type="dxa" w:w="31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Facility name</w:t>
            </w:r>
          </w:p>
        </w:tc>
        <w:tc>
          <w:tcPr>
            <w:tcW w:type="dxa" w:w="16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Return status</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Ever enrolled, four tracers</w:t>
            </w:r>
          </w:p>
        </w:tc>
        <w:tc>
          <w:tcPr>
            <w:tcW w:type="dxa" w:w="17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Active in care, four tracers</w:t>
            </w:r>
          </w:p>
        </w:tc>
        <w:tc>
          <w:tcPr>
            <w:tcW w:type="dxa" w:w="18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Mentorship visit this quarter?</w:t>
            </w:r>
          </w:p>
        </w:tc>
        <w:tc>
          <w:tcPr>
            <w:tcW w:type="dxa" w:w="15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Quality score %</w:t>
            </w:r>
          </w:p>
        </w:tc>
        <w:tc>
          <w:tcPr>
            <w:tcW w:type="dxa" w:w="1500"/>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All critical criteria met?</w:t>
            </w:r>
          </w:p>
        </w:tc>
        <w:tc>
          <w:tcPr>
            <w:tcW w:type="dxa" w:w="1056"/>
            <w:tcBorders>
              <w:top w:val="single" w:color="3F444B" w:sz="4"/>
              <w:left w:val="single" w:color="3F444B" w:sz="4"/>
              <w:bottom w:val="single" w:color="3F444B" w:sz="4"/>
              <w:right w:val="single" w:color="3F444B" w:sz="4"/>
            </w:tcBorders>
            <w:shd w:fill="3F444B" w:color="auto" w:val="clear"/>
            <w:tcMar>
              <w:top w:type="dxa" w:w="55"/>
              <w:left w:type="dxa" w:w="95"/>
              <w:bottom w:type="dxa" w:w="55"/>
              <w:right w:type="dxa" w:w="95"/>
            </w:tcMar>
            <w:vAlign w:val="center"/>
          </w:tcPr>
          <w:p>
            <w:pPr>
              <w:spacing w:after="40" w:before="40"/>
              <w:jc w:val="center"/>
            </w:pPr>
            <w:r>
              <w:rPr>
                <w:rFonts w:ascii="Aptos" w:cs="Aptos" w:eastAsia="Aptos" w:hAnsi="Aptos"/>
                <w:b/>
                <w:bCs/>
                <w:i w:val="false"/>
                <w:iCs w:val="false"/>
                <w:caps w:val="false"/>
                <w:color w:val="FFFFFF"/>
                <w:sz w:val="14"/>
                <w:szCs w:val="14"/>
              </w:rPr>
              <w:t xml:space="preserve">Readiness class</w:t>
            </w:r>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68"/>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1"/>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5"/>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75"/>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69"/>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2"/>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6"/>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76"/>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70"/>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3"/>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7"/>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77"/>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71"/>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4"/>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8"/>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78"/>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72"/>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5"/>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29"/>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79"/>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73"/>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6"/>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30"/>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80"/>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r>
        <w:tc>
          <w:tcPr>
            <w:tcW w:type="dxa" w:w="125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3100"/>
            <w:tcBorders>
              <w:top w:val="single" w:color="A8ADB4" w:sz="4"/>
              <w:left w:val="single" w:color="A8ADB4" w:sz="4"/>
              <w:bottom w:val="single" w:color="A8ADB4" w:sz="4"/>
              <w:right w:val="single" w:color="A8ADB4" w:sz="4"/>
            </w:tcBorders>
            <w:shd w:fill="ECEDEF" w:color="auto" w:val="clear"/>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6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turn status"/>
                <w:tag w:val="dd_return"/>
                <w:id w:val="700074"/>
                <w:dropDownList>
                  <w:listItem w:displayText="Complete" w:value="Complete"/>
                  <w:listItem w:displayText="Partial" w:value="Partial"/>
                  <w:listItem w:displayText="No return" w:value="No return"/>
                </w:dropDownList>
              </w:sdtPr>
              <w:sdtContent>
                <w:r>
                  <w:rPr>
                    <w:rFonts w:ascii="Aptos" w:hAnsi="Aptos"/>
                    <w:sz w:val="16"/>
                    <w:color w:val="5A6069"/>
                  </w:rPr>
                  <w:t>Choose</w:t>
                </w:r>
              </w:sdtContent>
            </w:sdt>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7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8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esno"/>
                <w:id w:val="700017"/>
                <w:dropDownList>
                  <w:listItem w:displayText="Yes" w:value="Yes"/>
                  <w:listItem w:displayText="No" w:value="No"/>
                  <w:listItem w:displayText="Not reported" w:value="Not reported"/>
                </w:dropDownList>
              </w:sdtPr>
              <w:sdtContent>
                <w:r>
                  <w:rPr>
                    <w:rFonts w:ascii="Aptos" w:hAnsi="Aptos"/>
                    <w:sz w:val="16"/>
                    <w:color w:val="5A6069"/>
                  </w:rPr>
                  <w:t>Choose</w:t>
                </w:r>
              </w:sdtContent>
            </w:sdt>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80" w:before="80"/>
              <w:jc w:val="center"/>
            </w:pPr>
            <w:r>
              <w:rPr>
                <w:rFonts w:ascii="Aptos" w:cs="Aptos" w:eastAsia="Aptos" w:hAnsi="Aptos"/>
                <w:b w:val="false"/>
                <w:bCs w:val="false"/>
                <w:i w:val="false"/>
                <w:iCs w:val="false"/>
                <w:caps w:val="false"/>
                <w:color w:val="1A1A1A"/>
                <w:sz w:val="16"/>
                <w:szCs w:val="16"/>
              </w:rPr>
              <w:t xml:space="preserve"/>
            </w:r>
          </w:p>
        </w:tc>
        <w:tc>
          <w:tcPr>
            <w:tcW w:type="dxa" w:w="1500"/>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Answer"/>
                <w:tag w:val="dd_ynp"/>
                <w:id w:val="700031"/>
                <w:dropDownList>
                  <w:listItem w:displayText="Yes" w:value="Yes"/>
                  <w:listItem w:displayText="No" w:value="No"/>
                  <w:listItem w:displayText="Partial" w:value="Partial"/>
                  <w:listItem w:displayText="Not reported" w:value="Not reported"/>
                </w:dropDownList>
              </w:sdtPr>
              <w:sdtContent>
                <w:r>
                  <w:rPr>
                    <w:rFonts w:ascii="Aptos" w:hAnsi="Aptos"/>
                    <w:sz w:val="16"/>
                    <w:color w:val="5A6069"/>
                  </w:rPr>
                  <w:t>Choose</w:t>
                </w:r>
              </w:sdtContent>
            </w:sdt>
          </w:p>
        </w:tc>
        <w:tc>
          <w:tcPr>
            <w:tcW w:type="dxa" w:w="1056"/>
            <w:tcBorders>
              <w:top w:val="single" w:color="A8ADB4" w:sz="4"/>
              <w:left w:val="single" w:color="A8ADB4" w:sz="4"/>
              <w:bottom w:val="single" w:color="A8ADB4" w:sz="4"/>
              <w:right w:val="single" w:color="A8ADB4" w:sz="4"/>
            </w:tcBorders>
            <w:tcMar>
              <w:top w:type="dxa" w:w="55"/>
              <w:left w:type="dxa" w:w="95"/>
              <w:bottom w:type="dxa" w:w="55"/>
              <w:right w:type="dxa" w:w="95"/>
            </w:tcMar>
            <w:vAlign w:val="center"/>
          </w:tcPr>
          <w:p>
            <w:pPr>
              <w:spacing w:after="45" w:before="45"/>
              <w:jc w:val="center"/>
            </w:pPr>
            <w:sdt>
              <w:sdtPr>
                <w:rPr>
                  <w:rFonts w:ascii="Aptos" w:hAnsi="Aptos"/>
                  <w:sz w:val="16"/>
                  <w:color w:val="5A6069"/>
                </w:rPr>
                <w:alias w:val="Readiness class"/>
                <w:tag w:val="dd_band"/>
                <w:id w:val="700081"/>
                <w:dropDownList>
                  <w:listItem w:displayText="Green" w:value="Green"/>
                  <w:listItem w:displayText="Amber" w:value="Amber"/>
                  <w:listItem w:displayText="Red" w:value="Red"/>
                  <w:listItem w:displayText="Not assessed" w:value="Not assessed"/>
                </w:dropDownList>
              </w:sdtPr>
              <w:sdtContent>
                <w:r>
                  <w:rPr>
                    <w:rFonts w:ascii="Aptos" w:hAnsi="Aptos"/>
                    <w:sz w:val="16"/>
                    <w:color w:val="5A6069"/>
                  </w:rPr>
                  <w:t>Choose</w:t>
                </w:r>
              </w:sdtContent>
            </w:sdt>
          </w:p>
        </w:tc>
      </w:tr>
    </w:tbl>
    <w:sectPr>
      <w:headerReference w:type="default" r:id="rId11"/>
      <w:footerReference w:type="default" r:id="rId12"/>
      <w:pgSz w:w="16838" w:h="11906" w:orient="portrait"/>
      <w:pgMar w:top="800" w:right="816" w:bottom="800" w:left="816" w:header="42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A6069"/>
        <w:sz w:val="15"/>
        <w:szCs w:val="15"/>
      </w:rPr>
      <w:t xml:space="preserve">Page </w:t>
    </w:r>
    <w:r>
      <w:rPr>
        <w:rFonts w:ascii="Aptos" w:cs="Aptos" w:eastAsia="Aptos" w:hAnsi="Aptos"/>
        <w:color w:val="5A6069"/>
        <w:sz w:val="15"/>
        <w:szCs w:val="15"/>
      </w:rPr>
      <w:fldChar w:fldCharType="begin"/>
      <w:instrText xml:space="preserve">PAGE</w:instrText>
      <w:fldChar w:fldCharType="separate"/>
      <w:fldChar w:fldCharType="end"/>
    </w:r>
    <w:r>
      <w:rPr>
        <w:rFonts w:ascii="Aptos" w:cs="Aptos" w:eastAsia="Aptos" w:hAnsi="Aptos"/>
        <w:color w:val="5A6069"/>
        <w:sz w:val="15"/>
        <w:szCs w:val="15"/>
      </w:rPr>
      <w:t xml:space="preserve"> of </w:t>
    </w:r>
    <w:r>
      <w:rPr>
        <w:rFonts w:ascii="Aptos" w:cs="Aptos" w:eastAsia="Aptos" w:hAnsi="Aptos"/>
        <w:color w:val="5A606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ptos" w:cs="Aptos" w:eastAsia="Aptos" w:hAnsi="Aptos"/>
        <w:b w:val="false"/>
        <w:bCs w:val="false"/>
        <w:i w:val="false"/>
        <w:iCs w:val="false"/>
        <w:caps w:val="false"/>
        <w:color w:val="1A1A1A"/>
        <w:sz w:val="19"/>
        <w:szCs w:val="19"/>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A6069"/>
        <w:sz w:val="15"/>
        <w:szCs w:val="15"/>
      </w:rPr>
      <w:t xml:space="preserve">Page </w:t>
    </w:r>
    <w:r>
      <w:rPr>
        <w:rFonts w:ascii="Aptos" w:cs="Aptos" w:eastAsia="Aptos" w:hAnsi="Aptos"/>
        <w:color w:val="5A6069"/>
        <w:sz w:val="15"/>
        <w:szCs w:val="15"/>
      </w:rPr>
      <w:fldChar w:fldCharType="begin"/>
      <w:instrText xml:space="preserve">PAGE</w:instrText>
      <w:fldChar w:fldCharType="separate"/>
      <w:fldChar w:fldCharType="end"/>
    </w:r>
    <w:r>
      <w:rPr>
        <w:rFonts w:ascii="Aptos" w:cs="Aptos" w:eastAsia="Aptos" w:hAnsi="Aptos"/>
        <w:color w:val="5A6069"/>
        <w:sz w:val="15"/>
        <w:szCs w:val="15"/>
      </w:rPr>
      <w:t xml:space="preserve"> of </w:t>
    </w:r>
    <w:r>
      <w:rPr>
        <w:rFonts w:ascii="Aptos" w:cs="Aptos" w:eastAsia="Aptos" w:hAnsi="Aptos"/>
        <w:color w:val="5A60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106"/>
      </w:tabs>
      <w:spacing w:after="60"/>
    </w:pPr>
    <w:r>
      <w:rPr>
        <w:rFonts w:ascii="Aptos" w:cs="Aptos" w:eastAsia="Aptos" w:hAnsi="Aptos"/>
        <w:b w:val="false"/>
        <w:bCs w:val="false"/>
        <w:i w:val="false"/>
        <w:iCs w:val="false"/>
        <w:caps w:val="false"/>
        <w:color w:val="5A6069"/>
        <w:sz w:val="15"/>
        <w:szCs w:val="15"/>
      </w:rPr>
      <w:t xml:space="preserve">PEN-Plus Phase Two quarterly country report</w:t>
    </w:r>
    <w:r>
      <w:rPr>
        <w:rFonts w:ascii="Aptos" w:cs="Aptos" w:eastAsia="Aptos" w:hAnsi="Aptos"/>
        <w:sz w:val="15"/>
        <w:szCs w:val="15"/>
      </w:rPr>
      <w:t xml:space="preserve">	</w:t>
    </w:r>
    <w:r>
      <w:rPr>
        <w:rFonts w:ascii="Aptos" w:cs="Aptos" w:eastAsia="Aptos" w:hAnsi="Aptos"/>
        <w:b w:val="false"/>
        <w:bCs w:val="false"/>
        <w:i w:val="false"/>
        <w:iCs w:val="false"/>
        <w:caps w:val="false"/>
        <w:color w:val="5A6069"/>
        <w:sz w:val="15"/>
        <w:szCs w:val="15"/>
      </w:rPr>
      <w:t xml:space="preserve">WHO Regional Office for Africa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ptos" w:cs="Aptos" w:eastAsia="Aptos" w:hAnsi="Aptos"/>
        <w:b w:val="false"/>
        <w:bCs w:val="false"/>
        <w:i w:val="false"/>
        <w:iCs w:val="false"/>
        <w:caps w:val="false"/>
        <w:color w:val="1A1A1A"/>
        <w:sz w:val="19"/>
        <w:szCs w:val="19"/>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206"/>
      </w:tabs>
      <w:spacing w:after="60"/>
    </w:pPr>
    <w:r>
      <w:rPr>
        <w:rFonts w:ascii="Aptos" w:cs="Aptos" w:eastAsia="Aptos" w:hAnsi="Aptos"/>
        <w:b w:val="false"/>
        <w:bCs w:val="false"/>
        <w:i w:val="false"/>
        <w:iCs w:val="false"/>
        <w:caps w:val="false"/>
        <w:color w:val="5A6069"/>
        <w:sz w:val="15"/>
        <w:szCs w:val="15"/>
      </w:rPr>
      <w:t xml:space="preserve">PEN-Plus Phase Two quarterly country report</w:t>
    </w:r>
    <w:r>
      <w:rPr>
        <w:rFonts w:ascii="Aptos" w:cs="Aptos" w:eastAsia="Aptos" w:hAnsi="Aptos"/>
        <w:sz w:val="15"/>
        <w:szCs w:val="15"/>
      </w:rPr>
      <w:t xml:space="preserve">	</w:t>
    </w:r>
    <w:r>
      <w:rPr>
        <w:rFonts w:ascii="Aptos" w:cs="Aptos" w:eastAsia="Aptos" w:hAnsi="Aptos"/>
        <w:b w:val="false"/>
        <w:bCs w:val="false"/>
        <w:i w:val="false"/>
        <w:iCs w:val="false"/>
        <w:caps w:val="false"/>
        <w:color w:val="5A6069"/>
        <w:sz w:val="15"/>
        <w:szCs w:val="15"/>
      </w:rPr>
      <w:t xml:space="preserve">WHO Regional Office for Africa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0fa91943498319b8f7fea65c5e48a81e2148780c.png"/><Relationship Id="rId14" Type="http://schemas.openxmlformats.org/officeDocument/2006/relationships/image" Target="media/c2ea7c2cadbaa8edf956e49d3f8e284a3d581b2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PEN-Plus Phase Two quarterly country report</dc:title>
  <dc:creator>WHO Regional Office for Africa</dc:creator>
  <cp:lastModifiedBy>Un-named</cp:lastModifiedBy>
  <cp:revision>1</cp:revision>
  <dcterms:created xsi:type="dcterms:W3CDTF">2026-09-21T13:06:16.383Z</dcterms:created>
  <dcterms:modified xsi:type="dcterms:W3CDTF">2026-09-21T13:06:16.383Z</dcterms:modified>
</cp:coreProperties>
</file>

<file path=docProps/custom.xml><?xml version="1.0" encoding="utf-8"?>
<Properties xmlns="http://schemas.openxmlformats.org/officeDocument/2006/custom-properties" xmlns:vt="http://schemas.openxmlformats.org/officeDocument/2006/docPropsVTypes"/>
</file>