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5300"/>
        <w:gridCol w:w="4806"/>
      </w:tblGrid>
      <w:tr>
        <w:tc>
          <w:tcPr>
            <w:tcW w:type="dxa" w:w="5300"/>
            <w:tcBorders>
              <w:top w:val="none" w:color="FFFFFF" w:sz="0"/>
              <w:left w:val="none" w:color="FFFFFF" w:sz="0"/>
              <w:bottom w:val="none" w:color="FFFFFF" w:sz="0"/>
              <w:right w:val="none" w:color="FFFFFF" w:sz="0"/>
            </w:tcBorders>
            <w:vAlign w:val="center"/>
          </w:tcPr>
          <w:p>
            <w:r>
              <w:drawing>
                <wp:inline distT="0" distB="0" distL="0" distR="0">
                  <wp:extent cx="16764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76400" cy="876300"/>
                          </a:xfrm>
                          <a:prstGeom prst="rect">
                            <a:avLst/>
                          </a:prstGeom>
                        </pic:spPr>
                      </pic:pic>
                    </a:graphicData>
                  </a:graphic>
                </wp:inline>
              </w:drawing>
            </w:r>
          </w:p>
        </w:tc>
        <w:tc>
          <w:tcPr>
            <w:tcW w:type="dxa" w:w="4806"/>
            <w:tcBorders>
              <w:top w:val="none" w:color="FFFFFF" w:sz="0"/>
              <w:left w:val="none" w:color="FFFFFF" w:sz="0"/>
              <w:bottom w:val="none" w:color="FFFFFF" w:sz="0"/>
              <w:right w:val="none" w:color="FFFFFF" w:sz="0"/>
            </w:tcBorders>
            <w:vAlign w:val="center"/>
          </w:tcPr>
          <w:p>
            <w:pPr>
              <w:spacing w:after="40"/>
              <w:jc w:val="right"/>
            </w:pPr>
            <w:r>
              <w:rPr>
                <w:rFonts w:ascii="Aptos" w:cs="Aptos" w:eastAsia="Aptos" w:hAnsi="Aptos"/>
                <w:b w:val="false"/>
                <w:bCs w:val="false"/>
                <w:i w:val="false"/>
                <w:iCs w:val="false"/>
                <w:caps w:val="false"/>
                <w:color w:val="5A6069"/>
                <w:sz w:val="14"/>
                <w:szCs w:val="14"/>
              </w:rPr>
              <w:t xml:space="preserve">In partnership with</w:t>
            </w:r>
          </w:p>
          <w:p>
            <w:pPr>
              <w:jc w:val="right"/>
            </w:pPr>
            <w:r>
              <w:drawing>
                <wp:inline distT="0" distB="0" distL="0" distR="0">
                  <wp:extent cx="125730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57300" cy="638175"/>
                          </a:xfrm>
                          <a:prstGeom prst="rect">
                            <a:avLst/>
                          </a:prstGeom>
                        </pic:spPr>
                      </pic:pic>
                    </a:graphicData>
                  </a:graphic>
                </wp:inline>
              </w:drawing>
            </w:r>
          </w:p>
        </w:tc>
      </w:tr>
    </w:tbl>
    <w:p>
      <w:pPr>
        <w:spacing w:after="210" w:before="0"/>
      </w:pPr>
      <w:r>
        <w:rPr>
          <w:rFonts w:ascii="Aptos" w:cs="Aptos" w:eastAsia="Aptos" w:hAnsi="Aptos"/>
          <w:b w:val="false"/>
          <w:bCs w:val="false"/>
          <w:i w:val="false"/>
          <w:iCs w:val="false"/>
          <w:caps w:val="false"/>
          <w:color w:val="1A1A1A"/>
          <w:sz w:val="20"/>
          <w:szCs w:val="20"/>
        </w:rPr>
        <w:t xml:space="preserve"/>
      </w:r>
    </w:p>
    <w:p>
      <w:pPr>
        <w:spacing w:after="50" w:before="60"/>
        <w:jc w:val="left"/>
      </w:pPr>
      <w:r>
        <w:rPr>
          <w:rFonts w:ascii="Aptos" w:cs="Aptos" w:eastAsia="Aptos" w:hAnsi="Aptos"/>
          <w:b/>
          <w:bCs/>
          <w:i w:val="false"/>
          <w:iCs w:val="false"/>
          <w:caps w:val="false"/>
          <w:color w:val="1A1A1A"/>
          <w:sz w:val="32"/>
          <w:szCs w:val="32"/>
        </w:rPr>
        <w:t xml:space="preserve">PEN-Plus regional dashboard</w:t>
      </w:r>
    </w:p>
    <w:p>
      <w:pPr>
        <w:spacing w:after="150" w:before="60"/>
        <w:jc w:val="left"/>
      </w:pPr>
      <w:r>
        <w:rPr>
          <w:rFonts w:ascii="Aptos" w:cs="Aptos" w:eastAsia="Aptos" w:hAnsi="Aptos"/>
          <w:b w:val="false"/>
          <w:bCs w:val="false"/>
          <w:i w:val="false"/>
          <w:iCs w:val="false"/>
          <w:caps w:val="false"/>
          <w:color w:val="5A6069"/>
          <w:sz w:val="19"/>
          <w:szCs w:val="19"/>
        </w:rPr>
        <w:t xml:space="preserve">Technical specification. What it shows, what it must never show, how the data reaches it, and what has to be true before it is released.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806"/>
      </w:tblGrid>
      <w:tr>
        <w:tc>
          <w:tcPr>
            <w:tcW w:type="dxa" w:w="1900"/>
            <w:tcBorders>
              <w:top w:val="single" w:color="F4F5F6" w:sz="4"/>
              <w:left w:val="single" w:color="F4F5F6" w:sz="4"/>
              <w:bottom w:val="single" w:color="F4F5F6" w:sz="4"/>
              <w:right w:val="single" w:color="F4F5F6"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color w:val="5A6069"/>
                <w:spacing w:val="18"/>
                <w:sz w:val="14"/>
                <w:szCs w:val="14"/>
              </w:rPr>
              <w:t xml:space="preserve">Version</w:t>
            </w:r>
          </w:p>
          <w:p>
            <w:pPr>
              <w:spacing w:after="60" w:before="60"/>
              <w:jc w:val="left"/>
            </w:pPr>
            <w:r>
              <w:rPr>
                <w:rFonts w:ascii="Aptos" w:cs="Aptos" w:eastAsia="Aptos" w:hAnsi="Aptos"/>
                <w:b w:val="false"/>
                <w:bCs w:val="false"/>
                <w:i w:val="false"/>
                <w:iCs w:val="false"/>
                <w:caps w:val="false"/>
                <w:color w:val="1A1A1A"/>
                <w:sz w:val="17"/>
                <w:szCs w:val="17"/>
              </w:rPr>
              <w:t xml:space="preserve">1.0, for build</w:t>
            </w:r>
          </w:p>
        </w:tc>
        <w:tc>
          <w:tcPr>
            <w:tcW w:type="dxa" w:w="4400"/>
            <w:tcBorders>
              <w:top w:val="single" w:color="F4F5F6" w:sz="4"/>
              <w:left w:val="single" w:color="F4F5F6" w:sz="4"/>
              <w:bottom w:val="single" w:color="F4F5F6" w:sz="4"/>
              <w:right w:val="single" w:color="F4F5F6"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color w:val="5A6069"/>
                <w:spacing w:val="18"/>
                <w:sz w:val="14"/>
                <w:szCs w:val="14"/>
              </w:rPr>
              <w:t xml:space="preserve">Source of truth</w:t>
            </w:r>
          </w:p>
          <w:p>
            <w:pPr>
              <w:spacing w:after="60" w:before="60"/>
              <w:jc w:val="left"/>
            </w:pPr>
            <w:r>
              <w:rPr>
                <w:rFonts w:ascii="Aptos" w:cs="Aptos" w:eastAsia="Aptos" w:hAnsi="Aptos"/>
                <w:b w:val="false"/>
                <w:bCs w:val="false"/>
                <w:i w:val="false"/>
                <w:iCs w:val="false"/>
                <w:caps w:val="false"/>
                <w:color w:val="1A1A1A"/>
                <w:sz w:val="16"/>
                <w:szCs w:val="16"/>
              </w:rPr>
              <w:t xml:space="preserve">PEN-Plus quarterly country report, version 3.0, and the traceability workbook</w:t>
            </w:r>
          </w:p>
        </w:tc>
        <w:tc>
          <w:tcPr>
            <w:tcW w:type="dxa" w:w="3806"/>
            <w:tcBorders>
              <w:top w:val="single" w:color="F4F5F6" w:sz="4"/>
              <w:left w:val="single" w:color="F4F5F6" w:sz="4"/>
              <w:bottom w:val="single" w:color="F4F5F6" w:sz="4"/>
              <w:right w:val="single" w:color="F4F5F6"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color w:val="5A6069"/>
                <w:spacing w:val="18"/>
                <w:sz w:val="14"/>
                <w:szCs w:val="14"/>
              </w:rPr>
              <w:t xml:space="preserve">Build environment</w:t>
            </w:r>
          </w:p>
          <w:p>
            <w:pPr>
              <w:spacing w:after="60" w:before="60"/>
              <w:jc w:val="left"/>
            </w:pPr>
            <w:r>
              <w:rPr>
                <w:rFonts w:ascii="Aptos" w:cs="Aptos" w:eastAsia="Aptos" w:hAnsi="Aptos"/>
                <w:b w:val="false"/>
                <w:bCs w:val="false"/>
                <w:i w:val="false"/>
                <w:iCs w:val="false"/>
                <w:caps w:val="false"/>
                <w:color w:val="1A1A1A"/>
                <w:sz w:val="16"/>
                <w:szCs w:val="16"/>
              </w:rPr>
              <w:t xml:space="preserve">Claude Code, static site, no server-side runtime</w:t>
            </w:r>
          </w:p>
        </w:tc>
      </w:tr>
    </w:tbl>
    <w:p>
      <w:pPr>
        <w:spacing w:after="130" w:before="320"/>
      </w:pPr>
      <w:r>
        <w:rPr>
          <w:rFonts w:ascii="Aptos" w:cs="Aptos" w:eastAsia="Aptos" w:hAnsi="Aptos"/>
          <w:b/>
          <w:bCs/>
          <w:i w:val="false"/>
          <w:iCs w:val="false"/>
          <w:caps/>
          <w:color w:val="1A1A1A"/>
          <w:spacing w:val="14"/>
          <w:sz w:val="24"/>
          <w:szCs w:val="24"/>
        </w:rPr>
        <w:t xml:space="preserve">1.  What the dashboard is for</w:t>
      </w:r>
    </w:p>
    <w:p>
      <w:pPr>
        <w:spacing w:after="110" w:before="60"/>
        <w:jc w:val="left"/>
      </w:pPr>
      <w:r>
        <w:rPr>
          <w:rFonts w:ascii="Aptos" w:cs="Aptos" w:eastAsia="Aptos" w:hAnsi="Aptos"/>
          <w:b w:val="false"/>
          <w:bCs w:val="false"/>
          <w:i w:val="false"/>
          <w:iCs w:val="false"/>
          <w:caps w:val="false"/>
          <w:color w:val="1A1A1A"/>
          <w:sz w:val="20"/>
          <w:szCs w:val="20"/>
        </w:rPr>
        <w:t xml:space="preserve">The dashboard answers four questions and nothing else: where PEN-Plus is being delivered, how many patients it reaches and keeps, whether countries are moving towards their milestones, and how much of that can be trusted. Anything that does not serve one of those four is out of scope.</w:t>
      </w:r>
    </w:p>
    <w:p>
      <w:pPr>
        <w:spacing w:after="110" w:before="60"/>
        <w:jc w:val="left"/>
      </w:pPr>
      <w:r>
        <w:rPr>
          <w:rFonts w:ascii="Aptos" w:cs="Aptos" w:eastAsia="Aptos" w:hAnsi="Aptos"/>
          <w:b w:val="false"/>
          <w:bCs w:val="false"/>
          <w:i w:val="false"/>
          <w:iCs w:val="false"/>
          <w:caps w:val="false"/>
          <w:color w:val="1A1A1A"/>
          <w:sz w:val="20"/>
          <w:szCs w:val="20"/>
        </w:rPr>
        <w:t xml:space="preserve">It is not a data entry tool, not a national monitoring system, and not a substitute for DHIS2. Countries monitor their own programmes in their national platform. This is the regional layer, built from the quarterly country returns.</w:t>
      </w:r>
    </w:p>
    <w:p>
      <w:pPr>
        <w:spacing w:after="80" w:before="230"/>
      </w:pPr>
      <w:r>
        <w:rPr>
          <w:rFonts w:ascii="Aptos" w:cs="Aptos" w:eastAsia="Aptos" w:hAnsi="Aptos"/>
          <w:b/>
          <w:bCs/>
          <w:i w:val="false"/>
          <w:iCs w:val="false"/>
          <w:caps w:val="false"/>
          <w:color w:val="1A1A1A"/>
          <w:sz w:val="20"/>
          <w:szCs w:val="20"/>
        </w:rPr>
        <w:t xml:space="preserve">Audiences, in priority order</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806"/>
      </w:tblGrid>
      <w:tr>
        <w:trPr>
          <w:tblHeader/>
        </w:trPr>
        <w:tc>
          <w:tcPr>
            <w:tcW w:type="dxa" w:w="2900"/>
            <w:tcBorders>
              <w:top w:val="single" w:color="3F444B" w:sz="4"/>
              <w:left w:val="single" w:color="3F444B" w:sz="4"/>
              <w:bottom w:val="single" w:color="3F444B" w:sz="4"/>
              <w:right w:val="single" w:color="3F444B" w:sz="4"/>
            </w:tcBorders>
            <w:shd w:fill="3F444B"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FFFFFF"/>
                <w:sz w:val="16"/>
                <w:szCs w:val="16"/>
              </w:rPr>
              <w:t xml:space="preserve">Audience</w:t>
            </w:r>
          </w:p>
        </w:tc>
        <w:tc>
          <w:tcPr>
            <w:tcW w:type="dxa" w:w="3400"/>
            <w:tcBorders>
              <w:top w:val="single" w:color="3F444B" w:sz="4"/>
              <w:left w:val="single" w:color="3F444B" w:sz="4"/>
              <w:bottom w:val="single" w:color="3F444B" w:sz="4"/>
              <w:right w:val="single" w:color="3F444B" w:sz="4"/>
            </w:tcBorders>
            <w:shd w:fill="3F444B"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FFFFFF"/>
                <w:sz w:val="16"/>
                <w:szCs w:val="16"/>
              </w:rPr>
              <w:t xml:space="preserve">The question they arrive with</w:t>
            </w:r>
          </w:p>
        </w:tc>
        <w:tc>
          <w:tcPr>
            <w:tcW w:type="dxa" w:w="3806"/>
            <w:tcBorders>
              <w:top w:val="single" w:color="3F444B" w:sz="4"/>
              <w:left w:val="single" w:color="3F444B" w:sz="4"/>
              <w:bottom w:val="single" w:color="3F444B" w:sz="4"/>
              <w:right w:val="single" w:color="3F444B" w:sz="4"/>
            </w:tcBorders>
            <w:shd w:fill="3F444B"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FFFFFF"/>
                <w:sz w:val="16"/>
                <w:szCs w:val="16"/>
              </w:rPr>
              <w:t xml:space="preserve">What they must be able to do in under a minute</w:t>
            </w:r>
          </w:p>
        </w:tc>
      </w:tr>
      <w:tr>
        <w:tc>
          <w:tcPr>
            <w:tcW w:type="dxa" w:w="29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1A1A1A"/>
                <w:sz w:val="16"/>
                <w:szCs w:val="16"/>
              </w:rPr>
              <w:t xml:space="preserve">WHO AFRO NCD and Mental Health team</w:t>
            </w:r>
          </w:p>
        </w:tc>
        <w:tc>
          <w:tcPr>
            <w:tcW w:type="dxa" w:w="34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Are the sixteen indicators moving towards the milestones?</w:t>
            </w:r>
          </w:p>
        </w:tc>
        <w:tc>
          <w:tcPr>
            <w:tcW w:type="dxa" w:w="3806"/>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See the gap to milestone for every indicator, and which countries drive it</w:t>
            </w:r>
          </w:p>
        </w:tc>
      </w:tr>
      <w:tr>
        <w:tc>
          <w:tcPr>
            <w:tcW w:type="dxa" w:w="29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1A1A1A"/>
                <w:sz w:val="16"/>
                <w:szCs w:val="16"/>
              </w:rPr>
              <w:t xml:space="preserve">Regional leadership and Regional Committee</w:t>
            </w:r>
          </w:p>
        </w:tc>
        <w:tc>
          <w:tcPr>
            <w:tcW w:type="dxa" w:w="34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What has the Region achieved with PEN-Plus?</w:t>
            </w:r>
          </w:p>
        </w:tc>
        <w:tc>
          <w:tcPr>
            <w:tcW w:type="dxa" w:w="3806"/>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Read four headline figures with their date, coverage and completeness</w:t>
            </w:r>
          </w:p>
        </w:tc>
      </w:tr>
      <w:tr>
        <w:tc>
          <w:tcPr>
            <w:tcW w:type="dxa" w:w="29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1A1A1A"/>
                <w:sz w:val="16"/>
                <w:szCs w:val="16"/>
              </w:rPr>
              <w:t xml:space="preserve">Partners and funders</w:t>
            </w:r>
          </w:p>
        </w:tc>
        <w:tc>
          <w:tcPr>
            <w:tcW w:type="dxa" w:w="34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Is the investment producing patients in care?</w:t>
            </w:r>
          </w:p>
        </w:tc>
        <w:tc>
          <w:tcPr>
            <w:tcW w:type="dxa" w:w="3806"/>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See patients reached and retained, split by project-supported sites</w:t>
            </w:r>
          </w:p>
        </w:tc>
      </w:tr>
      <w:tr>
        <w:tc>
          <w:tcPr>
            <w:tcW w:type="dxa" w:w="29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1A1A1A"/>
                <w:sz w:val="16"/>
                <w:szCs w:val="16"/>
              </w:rPr>
              <w:t xml:space="preserve">National programmes and WHO country offices</w:t>
            </w:r>
          </w:p>
        </w:tc>
        <w:tc>
          <w:tcPr>
            <w:tcW w:type="dxa" w:w="34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How does my country compare, and what is outstanding from me?</w:t>
            </w:r>
          </w:p>
        </w:tc>
        <w:tc>
          <w:tcPr>
            <w:tcW w:type="dxa" w:w="3806"/>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Open a country profile and see its own figures and any pending query</w:t>
            </w:r>
          </w:p>
        </w:tc>
      </w:tr>
    </w:tbl>
    <w:p>
      <w:pPr>
        <w:spacing w:after="130" w:before="320"/>
      </w:pPr>
      <w:r>
        <w:rPr>
          <w:rFonts w:ascii="Aptos" w:cs="Aptos" w:eastAsia="Aptos" w:hAnsi="Aptos"/>
          <w:b/>
          <w:bCs/>
          <w:i w:val="false"/>
          <w:iCs w:val="false"/>
          <w:caps/>
          <w:color w:val="1A1A1A"/>
          <w:spacing w:val="14"/>
          <w:sz w:val="24"/>
          <w:szCs w:val="24"/>
        </w:rPr>
        <w:t xml:space="preserve">2.  Screens</w:t>
      </w:r>
    </w:p>
    <w:p>
      <w:pPr>
        <w:spacing w:after="110" w:before="60"/>
        <w:jc w:val="left"/>
      </w:pPr>
      <w:r>
        <w:rPr>
          <w:rFonts w:ascii="Aptos" w:cs="Aptos" w:eastAsia="Aptos" w:hAnsi="Aptos"/>
          <w:b w:val="false"/>
          <w:bCs w:val="false"/>
          <w:i w:val="false"/>
          <w:iCs w:val="false"/>
          <w:caps w:val="false"/>
          <w:color w:val="1A1A1A"/>
          <w:sz w:val="20"/>
          <w:szCs w:val="20"/>
        </w:rPr>
        <w:t xml:space="preserve">Five screens. One screen answers one question. If a screen answers two, it becomes two screens.</w:t>
      </w:r>
    </w:p>
    <w:tbl>
      <w:tblPr>
        <w:tblW w:type="dxa" w:w="880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3006"/>
        <w:gridCol w:w="1200"/>
      </w:tblGrid>
      <w:tr>
        <w:trPr>
          <w:tblHeader/>
        </w:trPr>
        <w:tc>
          <w:tcPr>
            <w:tcW w:type="dxa" w:w="2100"/>
            <w:tcBorders>
              <w:top w:val="single" w:color="3F444B" w:sz="4"/>
              <w:left w:val="single" w:color="3F444B" w:sz="4"/>
              <w:bottom w:val="single" w:color="3F444B" w:sz="4"/>
              <w:right w:val="single" w:color="3F444B" w:sz="4"/>
            </w:tcBorders>
            <w:shd w:fill="3F444B"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FFFFFF"/>
                <w:sz w:val="16"/>
                <w:szCs w:val="16"/>
              </w:rPr>
              <w:t xml:space="preserve">Screen</w:t>
            </w:r>
          </w:p>
        </w:tc>
        <w:tc>
          <w:tcPr>
            <w:tcW w:type="dxa" w:w="2500"/>
            <w:tcBorders>
              <w:top w:val="single" w:color="3F444B" w:sz="4"/>
              <w:left w:val="single" w:color="3F444B" w:sz="4"/>
              <w:bottom w:val="single" w:color="3F444B" w:sz="4"/>
              <w:right w:val="single" w:color="3F444B" w:sz="4"/>
            </w:tcBorders>
            <w:shd w:fill="3F444B"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FFFFFF"/>
                <w:sz w:val="16"/>
                <w:szCs w:val="16"/>
              </w:rPr>
              <w:t xml:space="preserve">The one question</w:t>
            </w:r>
          </w:p>
        </w:tc>
        <w:tc>
          <w:tcPr>
            <w:tcW w:type="dxa" w:w="3006"/>
            <w:tcBorders>
              <w:top w:val="single" w:color="3F444B" w:sz="4"/>
              <w:left w:val="single" w:color="3F444B" w:sz="4"/>
              <w:bottom w:val="single" w:color="3F444B" w:sz="4"/>
              <w:right w:val="single" w:color="3F444B" w:sz="4"/>
            </w:tcBorders>
            <w:shd w:fill="3F444B"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FFFFFF"/>
                <w:sz w:val="16"/>
                <w:szCs w:val="16"/>
              </w:rPr>
              <w:t xml:space="preserve">Core content</w:t>
            </w:r>
          </w:p>
        </w:tc>
        <w:tc>
          <w:tcPr>
            <w:tcW w:type="dxa" w:w="1200"/>
            <w:tcBorders>
              <w:top w:val="single" w:color="3F444B" w:sz="4"/>
              <w:left w:val="single" w:color="3F444B" w:sz="4"/>
              <w:bottom w:val="single" w:color="3F444B" w:sz="4"/>
              <w:right w:val="single" w:color="3F444B" w:sz="4"/>
            </w:tcBorders>
            <w:shd w:fill="3F444B"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FFFFFF"/>
                <w:sz w:val="16"/>
                <w:szCs w:val="16"/>
              </w:rPr>
              <w:t xml:space="preserve">Refresh</w:t>
            </w:r>
          </w:p>
        </w:tc>
      </w:tr>
      <w:tr>
        <w:tc>
          <w:tcPr>
            <w:tcW w:type="dxa" w:w="21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1A1A1A"/>
                <w:sz w:val="16"/>
                <w:szCs w:val="16"/>
              </w:rPr>
              <w:t xml:space="preserve">1. Regional overview</w:t>
            </w:r>
          </w:p>
        </w:tc>
        <w:tc>
          <w:tcPr>
            <w:tcW w:type="dxa" w:w="25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Where is PEN-Plus and how big is it?</w:t>
            </w:r>
          </w:p>
        </w:tc>
        <w:tc>
          <w:tcPr>
            <w:tcW w:type="dxa" w:w="3006"/>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Four headline figures with completeness flag; map of countries by phase and status; milestone progress strip for the five headline indicators</w:t>
            </w:r>
          </w:p>
        </w:tc>
        <w:tc>
          <w:tcPr>
            <w:tcW w:type="dxa" w:w="12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Quarterly</w:t>
            </w:r>
          </w:p>
        </w:tc>
      </w:tr>
      <w:tr>
        <w:tc>
          <w:tcPr>
            <w:tcW w:type="dxa" w:w="21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1A1A1A"/>
                <w:sz w:val="16"/>
                <w:szCs w:val="16"/>
              </w:rPr>
              <w:t xml:space="preserve">2. Indicator detail</w:t>
            </w:r>
          </w:p>
        </w:tc>
        <w:tc>
          <w:tcPr>
            <w:tcW w:type="dxa" w:w="25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Is this indicator moving, and who drives it?</w:t>
            </w:r>
          </w:p>
        </w:tc>
        <w:tc>
          <w:tcPr>
            <w:tcW w:type="dxa" w:w="3006"/>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One indicator, all countries: distribution, trend, gap to milestone, numerator and denominator on hover, definition panel</w:t>
            </w:r>
          </w:p>
        </w:tc>
        <w:tc>
          <w:tcPr>
            <w:tcW w:type="dxa" w:w="12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Quarterly</w:t>
            </w:r>
          </w:p>
        </w:tc>
      </w:tr>
      <w:tr>
        <w:tc>
          <w:tcPr>
            <w:tcW w:type="dxa" w:w="21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1A1A1A"/>
                <w:sz w:val="16"/>
                <w:szCs w:val="16"/>
              </w:rPr>
              <w:t xml:space="preserve">3. Country profile</w:t>
            </w:r>
          </w:p>
        </w:tc>
        <w:tc>
          <w:tcPr>
            <w:tcW w:type="dxa" w:w="25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What is the position of one country?</w:t>
            </w:r>
          </w:p>
        </w:tc>
        <w:tc>
          <w:tcPr>
            <w:tcW w:type="dxa" w:w="3006"/>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All sixteen indicators for one country, trend since first return, completeness and confidence, facility list, outstanding queries</w:t>
            </w:r>
          </w:p>
        </w:tc>
        <w:tc>
          <w:tcPr>
            <w:tcW w:type="dxa" w:w="12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Quarterly</w:t>
            </w:r>
          </w:p>
        </w:tc>
      </w:tr>
      <w:tr>
        <w:tc>
          <w:tcPr>
            <w:tcW w:type="dxa" w:w="21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1A1A1A"/>
                <w:sz w:val="16"/>
                <w:szCs w:val="16"/>
              </w:rPr>
              <w:t xml:space="preserve">4. Data quality</w:t>
            </w:r>
          </w:p>
        </w:tc>
        <w:tc>
          <w:tcPr>
            <w:tcW w:type="dxa" w:w="25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How much of this can be trusted?</w:t>
            </w:r>
          </w:p>
        </w:tc>
        <w:tc>
          <w:tcPr>
            <w:tcW w:type="dxa" w:w="3006"/>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Reporting completeness and timeliness by country and period, confidence declarations, open queries, definition compliance</w:t>
            </w:r>
          </w:p>
        </w:tc>
        <w:tc>
          <w:tcPr>
            <w:tcW w:type="dxa" w:w="12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Quarterly</w:t>
            </w:r>
          </w:p>
        </w:tc>
      </w:tr>
      <w:tr>
        <w:tc>
          <w:tcPr>
            <w:tcW w:type="dxa" w:w="21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1A1A1A"/>
                <w:sz w:val="16"/>
                <w:szCs w:val="16"/>
              </w:rPr>
              <w:t xml:space="preserve">5. Facilities</w:t>
            </w:r>
          </w:p>
        </w:tc>
        <w:tc>
          <w:tcPr>
            <w:tcW w:type="dxa" w:w="25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Where are the sites and what state are they in?</w:t>
            </w:r>
          </w:p>
        </w:tc>
        <w:tc>
          <w:tcPr>
            <w:tcW w:type="dxa" w:w="3006"/>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Facility table and map from Annex A: status, readiness class, quality score, mentorship, patients</w:t>
            </w:r>
          </w:p>
        </w:tc>
        <w:tc>
          <w:tcPr>
            <w:tcW w:type="dxa" w:w="12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Quarterly</w:t>
            </w:r>
          </w:p>
        </w:tc>
      </w:tr>
    </w:tbl>
    <w:p>
      <w:pPr>
        <w:spacing w:after="80" w:before="230"/>
      </w:pPr>
      <w:r>
        <w:rPr>
          <w:rFonts w:ascii="Aptos" w:cs="Aptos" w:eastAsia="Aptos" w:hAnsi="Aptos"/>
          <w:b/>
          <w:bCs/>
          <w:i w:val="false"/>
          <w:iCs w:val="false"/>
          <w:caps w:val="false"/>
          <w:color w:val="1A1A1A"/>
          <w:sz w:val="20"/>
          <w:szCs w:val="20"/>
        </w:rPr>
        <w:t xml:space="preserve">Screen 1 in detail</w:t>
      </w:r>
    </w:p>
    <w:p>
      <w:pPr>
        <w:spacing w:after="110" w:before="60"/>
        <w:jc w:val="left"/>
      </w:pPr>
      <w:r>
        <w:rPr>
          <w:rFonts w:ascii="Aptos" w:cs="Aptos" w:eastAsia="Aptos" w:hAnsi="Aptos"/>
          <w:b w:val="false"/>
          <w:bCs w:val="false"/>
          <w:i w:val="false"/>
          <w:iCs w:val="false"/>
          <w:caps w:val="false"/>
          <w:color w:val="1A1A1A"/>
          <w:sz w:val="20"/>
          <w:szCs w:val="20"/>
        </w:rPr>
        <w:t xml:space="preserve">The four headline figures are: countries implementing, PEN-Plus facilities providing services, patients ever enrolled, patients active in care. Each carries the period it refers to and the share of expected facility returns behind it. A headline figure without its completeness is not displayed.</w:t>
      </w:r>
    </w:p>
    <w:p>
      <w:pPr>
        <w:spacing w:after="110" w:before="60"/>
        <w:jc w:val="left"/>
      </w:pPr>
      <w:r>
        <w:rPr>
          <w:rFonts w:ascii="Aptos" w:cs="Aptos" w:eastAsia="Aptos" w:hAnsi="Aptos"/>
          <w:b w:val="false"/>
          <w:bCs w:val="false"/>
          <w:i w:val="false"/>
          <w:iCs w:val="false"/>
          <w:caps w:val="false"/>
          <w:color w:val="1A1A1A"/>
          <w:sz w:val="20"/>
          <w:szCs w:val="20"/>
        </w:rPr>
        <w:t xml:space="preserve">The milestone strip shows, for the five headline indicators, the last value, the milestone and the gap, as a horizontal bar against a target marker. Not a gauge, not a dial, not a traffic light.</w:t>
      </w:r>
    </w:p>
    <w:p>
      <w:r>
        <w:br w:type="page"/>
      </w:r>
    </w:p>
    <w:p>
      <w:pPr>
        <w:spacing w:after="130" w:before="320"/>
      </w:pPr>
      <w:r>
        <w:rPr>
          <w:rFonts w:ascii="Aptos" w:cs="Aptos" w:eastAsia="Aptos" w:hAnsi="Aptos"/>
          <w:b/>
          <w:bCs/>
          <w:i w:val="false"/>
          <w:iCs w:val="false"/>
          <w:caps/>
          <w:color w:val="1A1A1A"/>
          <w:spacing w:val="14"/>
          <w:sz w:val="24"/>
          <w:szCs w:val="24"/>
        </w:rPr>
        <w:t xml:space="preserve">3.  Display rules</w:t>
      </w:r>
    </w:p>
    <w:p>
      <w:pPr>
        <w:spacing w:after="110" w:before="60"/>
        <w:jc w:val="left"/>
      </w:pPr>
      <w:r>
        <w:rPr>
          <w:rFonts w:ascii="Aptos" w:cs="Aptos" w:eastAsia="Aptos" w:hAnsi="Aptos"/>
          <w:b w:val="false"/>
          <w:bCs w:val="false"/>
          <w:i w:val="false"/>
          <w:iCs w:val="false"/>
          <w:caps w:val="false"/>
          <w:color w:val="1A1A1A"/>
          <w:sz w:val="20"/>
          <w:szCs w:val="20"/>
        </w:rPr>
        <w:t xml:space="preserve">These rules are not stylistic. Each one exists because breaking it has produced a wrong decision in a comparable programme.</w:t>
      </w:r>
    </w:p>
    <w:p>
      <w:pPr>
        <w:spacing w:after="40" w:before="40"/>
      </w:pPr>
      <w:r>
        <w:rPr>
          <w:rFonts w:ascii="Aptos" w:cs="Aptos" w:eastAsia="Aptos" w:hAnsi="Aptos"/>
          <w:b/>
          <w:bCs/>
          <w:i w:val="false"/>
          <w:iCs w:val="false"/>
          <w:caps w:val="false"/>
          <w:color w:val="1A1A1A"/>
          <w:sz w:val="20"/>
          <w:szCs w:val="20"/>
        </w:rPr>
        <w:t xml:space="preserve">1.  </w:t>
      </w:r>
      <w:r>
        <w:rPr>
          <w:rFonts w:ascii="Aptos" w:cs="Aptos" w:eastAsia="Aptos" w:hAnsi="Aptos"/>
          <w:b w:val="false"/>
          <w:bCs w:val="false"/>
          <w:i w:val="false"/>
          <w:iCs w:val="false"/>
          <w:caps w:val="false"/>
          <w:color w:val="1A1A1A"/>
          <w:sz w:val="20"/>
          <w:szCs w:val="20"/>
        </w:rPr>
        <w:t xml:space="preserve">Never a rate without its denominator. Every percentage displays n and N on the element or on hover. A rate built on fewer than twenty patients is shown with its confidence interval.</w:t>
      </w:r>
    </w:p>
    <w:p>
      <w:pPr>
        <w:spacing w:after="40" w:before="40"/>
      </w:pPr>
      <w:r>
        <w:rPr>
          <w:rFonts w:ascii="Aptos" w:cs="Aptos" w:eastAsia="Aptos" w:hAnsi="Aptos"/>
          <w:b/>
          <w:bCs/>
          <w:i w:val="false"/>
          <w:iCs w:val="false"/>
          <w:caps w:val="false"/>
          <w:color w:val="1A1A1A"/>
          <w:sz w:val="20"/>
          <w:szCs w:val="20"/>
        </w:rPr>
        <w:t xml:space="preserve">2.  </w:t>
      </w:r>
      <w:r>
        <w:rPr>
          <w:rFonts w:ascii="Aptos" w:cs="Aptos" w:eastAsia="Aptos" w:hAnsi="Aptos"/>
          <w:b w:val="false"/>
          <w:bCs w:val="false"/>
          <w:i w:val="false"/>
          <w:iCs w:val="false"/>
          <w:caps w:val="false"/>
          <w:color w:val="1A1A1A"/>
          <w:sz w:val="20"/>
          <w:szCs w:val="20"/>
        </w:rPr>
        <w:t xml:space="preserve">Never a country league table. Show the distribution and the gap to milestone. Ranking thirty countries on figures of unequal completeness manufactures a hierarchy out of reporting behaviour.</w:t>
      </w:r>
    </w:p>
    <w:p>
      <w:pPr>
        <w:spacing w:after="40" w:before="40"/>
      </w:pPr>
      <w:r>
        <w:rPr>
          <w:rFonts w:ascii="Aptos" w:cs="Aptos" w:eastAsia="Aptos" w:hAnsi="Aptos"/>
          <w:b/>
          <w:bCs/>
          <w:i w:val="false"/>
          <w:iCs w:val="false"/>
          <w:caps w:val="false"/>
          <w:color w:val="1A1A1A"/>
          <w:sz w:val="20"/>
          <w:szCs w:val="20"/>
        </w:rPr>
        <w:t xml:space="preserve">3.  </w:t>
      </w:r>
      <w:r>
        <w:rPr>
          <w:rFonts w:ascii="Aptos" w:cs="Aptos" w:eastAsia="Aptos" w:hAnsi="Aptos"/>
          <w:b w:val="false"/>
          <w:bCs w:val="false"/>
          <w:i w:val="false"/>
          <w:iCs w:val="false"/>
          <w:caps w:val="false"/>
          <w:color w:val="1A1A1A"/>
          <w:sz w:val="20"/>
          <w:szCs w:val="20"/>
        </w:rPr>
        <w:t xml:space="preserve">NR is not zero. A non-response is drawn as a gap, never as a zero point, and a line chart breaks rather than joins across it. The legend names NR explicitly.</w:t>
      </w:r>
    </w:p>
    <w:p>
      <w:pPr>
        <w:spacing w:after="40" w:before="40"/>
      </w:pPr>
      <w:r>
        <w:rPr>
          <w:rFonts w:ascii="Aptos" w:cs="Aptos" w:eastAsia="Aptos" w:hAnsi="Aptos"/>
          <w:b/>
          <w:bCs/>
          <w:i w:val="false"/>
          <w:iCs w:val="false"/>
          <w:caps w:val="false"/>
          <w:color w:val="1A1A1A"/>
          <w:sz w:val="20"/>
          <w:szCs w:val="20"/>
        </w:rPr>
        <w:t xml:space="preserve">4.  </w:t>
      </w:r>
      <w:r>
        <w:rPr>
          <w:rFonts w:ascii="Aptos" w:cs="Aptos" w:eastAsia="Aptos" w:hAnsi="Aptos"/>
          <w:b w:val="false"/>
          <w:bCs w:val="false"/>
          <w:i w:val="false"/>
          <w:iCs w:val="false"/>
          <w:caps w:val="false"/>
          <w:color w:val="1A1A1A"/>
          <w:sz w:val="20"/>
          <w:szCs w:val="20"/>
        </w:rPr>
        <w:t xml:space="preserve">Completeness travels with the figure. Every aggregate carries the share of expected facility returns behind it. Below 80 per cent the figure is displayed in a muted state with the share visible without interaction.</w:t>
      </w:r>
    </w:p>
    <w:p>
      <w:pPr>
        <w:spacing w:after="40" w:before="40"/>
      </w:pPr>
      <w:r>
        <w:rPr>
          <w:rFonts w:ascii="Aptos" w:cs="Aptos" w:eastAsia="Aptos" w:hAnsi="Aptos"/>
          <w:b/>
          <w:bCs/>
          <w:i w:val="false"/>
          <w:iCs w:val="false"/>
          <w:caps w:val="false"/>
          <w:color w:val="1A1A1A"/>
          <w:sz w:val="20"/>
          <w:szCs w:val="20"/>
        </w:rPr>
        <w:t xml:space="preserve">5.  </w:t>
      </w:r>
      <w:r>
        <w:rPr>
          <w:rFonts w:ascii="Aptos" w:cs="Aptos" w:eastAsia="Aptos" w:hAnsi="Aptos"/>
          <w:b w:val="false"/>
          <w:bCs w:val="false"/>
          <w:i w:val="false"/>
          <w:iCs w:val="false"/>
          <w:caps w:val="false"/>
          <w:color w:val="1A1A1A"/>
          <w:sz w:val="20"/>
          <w:szCs w:val="20"/>
        </w:rPr>
        <w:t xml:space="preserve">Suppress small cells in any view that leaves the Regional Office. Cells with fewer than five patients are suppressed and flagged as suppressed, never replaced by zero.</w:t>
      </w:r>
    </w:p>
    <w:p>
      <w:pPr>
        <w:spacing w:after="40" w:before="40"/>
      </w:pPr>
      <w:r>
        <w:rPr>
          <w:rFonts w:ascii="Aptos" w:cs="Aptos" w:eastAsia="Aptos" w:hAnsi="Aptos"/>
          <w:b/>
          <w:bCs/>
          <w:i w:val="false"/>
          <w:iCs w:val="false"/>
          <w:caps w:val="false"/>
          <w:color w:val="1A1A1A"/>
          <w:sz w:val="20"/>
          <w:szCs w:val="20"/>
        </w:rPr>
        <w:t xml:space="preserve">6.  </w:t>
      </w:r>
      <w:r>
        <w:rPr>
          <w:rFonts w:ascii="Aptos" w:cs="Aptos" w:eastAsia="Aptos" w:hAnsi="Aptos"/>
          <w:b w:val="false"/>
          <w:bCs w:val="false"/>
          <w:i w:val="false"/>
          <w:iCs w:val="false"/>
          <w:caps w:val="false"/>
          <w:color w:val="1A1A1A"/>
          <w:sz w:val="20"/>
          <w:szCs w:val="20"/>
        </w:rPr>
        <w:t xml:space="preserve">Cohorts are not mixed in the first year. The twenty Phase 1 countries and the eleven Phase 2 countries are shown as distinct cohorts until the second annual reporting round.</w:t>
      </w:r>
    </w:p>
    <w:p>
      <w:pPr>
        <w:spacing w:after="40" w:before="40"/>
      </w:pPr>
      <w:r>
        <w:rPr>
          <w:rFonts w:ascii="Aptos" w:cs="Aptos" w:eastAsia="Aptos" w:hAnsi="Aptos"/>
          <w:b/>
          <w:bCs/>
          <w:i w:val="false"/>
          <w:iCs w:val="false"/>
          <w:caps w:val="false"/>
          <w:color w:val="1A1A1A"/>
          <w:sz w:val="20"/>
          <w:szCs w:val="20"/>
        </w:rPr>
        <w:t xml:space="preserve">7.  </w:t>
      </w:r>
      <w:r>
        <w:rPr>
          <w:rFonts w:ascii="Aptos" w:cs="Aptos" w:eastAsia="Aptos" w:hAnsi="Aptos"/>
          <w:b w:val="false"/>
          <w:bCs w:val="false"/>
          <w:i w:val="false"/>
          <w:iCs w:val="false"/>
          <w:caps w:val="false"/>
          <w:color w:val="1A1A1A"/>
          <w:sz w:val="20"/>
          <w:szCs w:val="20"/>
        </w:rPr>
        <w:t xml:space="preserve">Series breaks are drawn. The Phase 1 to Phase 2 transition changed the condition list and the frequency; the chart shows a marked discontinuity and the tooltip says what changed.</w:t>
      </w:r>
    </w:p>
    <w:p>
      <w:pPr>
        <w:spacing w:after="40" w:before="40"/>
      </w:pPr>
      <w:r>
        <w:rPr>
          <w:rFonts w:ascii="Aptos" w:cs="Aptos" w:eastAsia="Aptos" w:hAnsi="Aptos"/>
          <w:b/>
          <w:bCs/>
          <w:i w:val="false"/>
          <w:iCs w:val="false"/>
          <w:caps w:val="false"/>
          <w:color w:val="1A1A1A"/>
          <w:sz w:val="20"/>
          <w:szCs w:val="20"/>
        </w:rPr>
        <w:t xml:space="preserve">8.  </w:t>
      </w:r>
      <w:r>
        <w:rPr>
          <w:rFonts w:ascii="Aptos" w:cs="Aptos" w:eastAsia="Aptos" w:hAnsi="Aptos"/>
          <w:b w:val="false"/>
          <w:bCs w:val="false"/>
          <w:i w:val="false"/>
          <w:iCs w:val="false"/>
          <w:caps w:val="false"/>
          <w:color w:val="1A1A1A"/>
          <w:sz w:val="20"/>
          <w:szCs w:val="20"/>
        </w:rPr>
        <w:t xml:space="preserve">Colour never carries meaning alone. Status is always accompanied by a label or a mark. Met, partly met, not met, not reported, in that vocabulary.</w:t>
      </w:r>
    </w:p>
    <w:p>
      <w:pPr>
        <w:spacing w:after="40" w:before="40"/>
      </w:pPr>
      <w:r>
        <w:rPr>
          <w:rFonts w:ascii="Aptos" w:cs="Aptos" w:eastAsia="Aptos" w:hAnsi="Aptos"/>
          <w:b/>
          <w:bCs/>
          <w:i w:val="false"/>
          <w:iCs w:val="false"/>
          <w:caps w:val="false"/>
          <w:color w:val="1A1A1A"/>
          <w:sz w:val="20"/>
          <w:szCs w:val="20"/>
        </w:rPr>
        <w:t xml:space="preserve">9.  </w:t>
      </w:r>
      <w:r>
        <w:rPr>
          <w:rFonts w:ascii="Aptos" w:cs="Aptos" w:eastAsia="Aptos" w:hAnsi="Aptos"/>
          <w:b w:val="false"/>
          <w:bCs w:val="false"/>
          <w:i w:val="false"/>
          <w:iCs w:val="false"/>
          <w:caps w:val="false"/>
          <w:color w:val="1A1A1A"/>
          <w:sz w:val="20"/>
          <w:szCs w:val="20"/>
        </w:rPr>
        <w:t xml:space="preserve">Stock and flow are never summed. Patients active in care is a stock taken at period end. Newly enrolled is a flow. The data model enforces this; the interface must not offer a control that breaks it.</w:t>
      </w:r>
    </w:p>
    <w:p>
      <w:pPr>
        <w:spacing w:after="40" w:before="40"/>
      </w:pPr>
      <w:r>
        <w:rPr>
          <w:rFonts w:ascii="Aptos" w:cs="Aptos" w:eastAsia="Aptos" w:hAnsi="Aptos"/>
          <w:b/>
          <w:bCs/>
          <w:i w:val="false"/>
          <w:iCs w:val="false"/>
          <w:caps w:val="false"/>
          <w:color w:val="1A1A1A"/>
          <w:sz w:val="20"/>
          <w:szCs w:val="20"/>
        </w:rPr>
        <w:t xml:space="preserve">10.  </w:t>
      </w:r>
      <w:r>
        <w:rPr>
          <w:rFonts w:ascii="Aptos" w:cs="Aptos" w:eastAsia="Aptos" w:hAnsi="Aptos"/>
          <w:b w:val="false"/>
          <w:bCs w:val="false"/>
          <w:i w:val="false"/>
          <w:iCs w:val="false"/>
          <w:caps w:val="false"/>
          <w:color w:val="1A1A1A"/>
          <w:sz w:val="20"/>
          <w:szCs w:val="20"/>
        </w:rPr>
        <w:t xml:space="preserve">Every figure states its as-of date and the definition applied. Retention built on a sixty-day rule is labelled as such and excluded from the regional aggregate.</w:t>
      </w:r>
    </w:p>
    <w:p>
      <w:pPr>
        <w:spacing w:after="130" w:before="320"/>
      </w:pPr>
      <w:r>
        <w:rPr>
          <w:rFonts w:ascii="Aptos" w:cs="Aptos" w:eastAsia="Aptos" w:hAnsi="Aptos"/>
          <w:b/>
          <w:bCs/>
          <w:i w:val="false"/>
          <w:iCs w:val="false"/>
          <w:caps/>
          <w:color w:val="1A1A1A"/>
          <w:spacing w:val="14"/>
          <w:sz w:val="24"/>
          <w:szCs w:val="24"/>
        </w:rPr>
        <w:t xml:space="preserve">4.  Data flow</w:t>
      </w:r>
    </w:p>
    <w:p>
      <w:pPr>
        <w:spacing w:after="110" w:before="60"/>
        <w:jc w:val="left"/>
      </w:pPr>
      <w:r>
        <w:rPr>
          <w:rFonts w:ascii="Aptos" w:cs="Aptos" w:eastAsia="Aptos" w:hAnsi="Aptos"/>
          <w:b w:val="false"/>
          <w:bCs w:val="false"/>
          <w:i w:val="false"/>
          <w:iCs w:val="false"/>
          <w:caps w:val="false"/>
          <w:color w:val="1A1A1A"/>
          <w:sz w:val="20"/>
          <w:szCs w:val="20"/>
        </w:rPr>
        <w:t xml:space="preserve">The dashboard reads pre-computed files. It performs no calculation of its own beyond formatting, filtering and sorting. Any arithmetic in the front end is a second source of truth and will diverge.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2600"/>
        <w:gridCol w:w="2106"/>
      </w:tblGrid>
      <w:tr>
        <w:trPr>
          <w:tblHeader/>
        </w:trPr>
        <w:tc>
          <w:tcPr>
            <w:tcW w:type="dxa" w:w="1900"/>
            <w:tcBorders>
              <w:top w:val="single" w:color="3F444B" w:sz="4"/>
              <w:left w:val="single" w:color="3F444B" w:sz="4"/>
              <w:bottom w:val="single" w:color="3F444B" w:sz="4"/>
              <w:right w:val="single" w:color="3F444B" w:sz="4"/>
            </w:tcBorders>
            <w:shd w:fill="3F444B"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FFFFFF"/>
                <w:sz w:val="16"/>
                <w:szCs w:val="16"/>
              </w:rPr>
              <w:t xml:space="preserve">Stage</w:t>
            </w:r>
          </w:p>
        </w:tc>
        <w:tc>
          <w:tcPr>
            <w:tcW w:type="dxa" w:w="3500"/>
            <w:tcBorders>
              <w:top w:val="single" w:color="3F444B" w:sz="4"/>
              <w:left w:val="single" w:color="3F444B" w:sz="4"/>
              <w:bottom w:val="single" w:color="3F444B" w:sz="4"/>
              <w:right w:val="single" w:color="3F444B" w:sz="4"/>
            </w:tcBorders>
            <w:shd w:fill="3F444B"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FFFFFF"/>
                <w:sz w:val="16"/>
                <w:szCs w:val="16"/>
              </w:rPr>
              <w:t xml:space="preserve">What happens</w:t>
            </w:r>
          </w:p>
        </w:tc>
        <w:tc>
          <w:tcPr>
            <w:tcW w:type="dxa" w:w="2600"/>
            <w:tcBorders>
              <w:top w:val="single" w:color="3F444B" w:sz="4"/>
              <w:left w:val="single" w:color="3F444B" w:sz="4"/>
              <w:bottom w:val="single" w:color="3F444B" w:sz="4"/>
              <w:right w:val="single" w:color="3F444B" w:sz="4"/>
            </w:tcBorders>
            <w:shd w:fill="3F444B"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FFFFFF"/>
                <w:sz w:val="16"/>
                <w:szCs w:val="16"/>
              </w:rPr>
              <w:t xml:space="preserve">Output</w:t>
            </w:r>
          </w:p>
        </w:tc>
        <w:tc>
          <w:tcPr>
            <w:tcW w:type="dxa" w:w="2106"/>
            <w:tcBorders>
              <w:top w:val="single" w:color="3F444B" w:sz="4"/>
              <w:left w:val="single" w:color="3F444B" w:sz="4"/>
              <w:bottom w:val="single" w:color="3F444B" w:sz="4"/>
              <w:right w:val="single" w:color="3F444B" w:sz="4"/>
            </w:tcBorders>
            <w:shd w:fill="3F444B"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FFFFFF"/>
                <w:sz w:val="16"/>
                <w:szCs w:val="16"/>
              </w:rPr>
              <w:t xml:space="preserve">Owner</w:t>
            </w:r>
          </w:p>
        </w:tc>
      </w:tr>
      <w:tr>
        <w:tc>
          <w:tcPr>
            <w:tcW w:type="dxa" w:w="19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1A1A1A"/>
                <w:sz w:val="16"/>
                <w:szCs w:val="16"/>
              </w:rPr>
              <w:t xml:space="preserve">1. Return received</w:t>
            </w:r>
          </w:p>
        </w:tc>
        <w:tc>
          <w:tcPr>
            <w:tcW w:type="dxa" w:w="35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A country returns the Word form, named ISO3_YEAR_PERIOD_PENPLUS.docx</w:t>
            </w:r>
          </w:p>
        </w:tc>
        <w:tc>
          <w:tcPr>
            <w:tcW w:type="dxa" w:w="26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Raw file, stored immutably with a checksum</w:t>
            </w:r>
          </w:p>
        </w:tc>
        <w:tc>
          <w:tcPr>
            <w:tcW w:type="dxa" w:w="2106"/>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Regional M&amp;E</w:t>
            </w:r>
          </w:p>
        </w:tc>
      </w:tr>
      <w:tr>
        <w:tc>
          <w:tcPr>
            <w:tcW w:type="dxa" w:w="19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1A1A1A"/>
                <w:sz w:val="16"/>
                <w:szCs w:val="16"/>
              </w:rPr>
              <w:t xml:space="preserve">2. Parse</w:t>
            </w:r>
          </w:p>
        </w:tc>
        <w:tc>
          <w:tcPr>
            <w:tcW w:type="dxa" w:w="35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The parser reads the tables by position and row label into records</w:t>
            </w:r>
          </w:p>
        </w:tc>
        <w:tc>
          <w:tcPr>
            <w:tcW w:type="dxa" w:w="26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One JSON record set per return</w:t>
            </w:r>
          </w:p>
        </w:tc>
        <w:tc>
          <w:tcPr>
            <w:tcW w:type="dxa" w:w="2106"/>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Data engineer</w:t>
            </w:r>
          </w:p>
        </w:tc>
      </w:tr>
      <w:tr>
        <w:tc>
          <w:tcPr>
            <w:tcW w:type="dxa" w:w="19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1A1A1A"/>
                <w:sz w:val="16"/>
                <w:szCs w:val="16"/>
              </w:rPr>
              <w:t xml:space="preserve">3. Validate</w:t>
            </w:r>
          </w:p>
        </w:tc>
        <w:tc>
          <w:tcPr>
            <w:tcW w:type="dxa" w:w="35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The quality control rules run: arithmetic, cascade, longitudinal, plausibility</w:t>
            </w:r>
          </w:p>
        </w:tc>
        <w:tc>
          <w:tcPr>
            <w:tcW w:type="dxa" w:w="26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Query register and a pass, hold or query verdict</w:t>
            </w:r>
          </w:p>
        </w:tc>
        <w:tc>
          <w:tcPr>
            <w:tcW w:type="dxa" w:w="2106"/>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Automated, reviewed by M&amp;E</w:t>
            </w:r>
          </w:p>
        </w:tc>
      </w:tr>
      <w:tr>
        <w:tc>
          <w:tcPr>
            <w:tcW w:type="dxa" w:w="19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1A1A1A"/>
                <w:sz w:val="16"/>
                <w:szCs w:val="16"/>
              </w:rPr>
              <w:t xml:space="preserve">4. Load</w:t>
            </w:r>
          </w:p>
        </w:tc>
        <w:tc>
          <w:tcPr>
            <w:tcW w:type="dxa" w:w="35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Validated records are written to the store, versioned, never overwritten</w:t>
            </w:r>
          </w:p>
        </w:tc>
        <w:tc>
          <w:tcPr>
            <w:tcW w:type="dxa" w:w="26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Bronze and silver tables</w:t>
            </w:r>
          </w:p>
        </w:tc>
        <w:tc>
          <w:tcPr>
            <w:tcW w:type="dxa" w:w="2106"/>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Data engineer</w:t>
            </w:r>
          </w:p>
        </w:tc>
      </w:tr>
      <w:tr>
        <w:tc>
          <w:tcPr>
            <w:tcW w:type="dxa" w:w="19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1A1A1A"/>
                <w:sz w:val="16"/>
                <w:szCs w:val="16"/>
              </w:rPr>
              <w:t xml:space="preserve">5. Compute</w:t>
            </w:r>
          </w:p>
        </w:tc>
        <w:tc>
          <w:tcPr>
            <w:tcW w:type="dxa" w:w="35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Indicator formulas from Annex B of the form are applied</w:t>
            </w:r>
          </w:p>
        </w:tc>
        <w:tc>
          <w:tcPr>
            <w:tcW w:type="dxa" w:w="26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Gold indicator table, one row per country, period, indicator, disaggregation</w:t>
            </w:r>
          </w:p>
        </w:tc>
        <w:tc>
          <w:tcPr>
            <w:tcW w:type="dxa" w:w="2106"/>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Analytics engineer</w:t>
            </w:r>
          </w:p>
        </w:tc>
      </w:tr>
      <w:tr>
        <w:tc>
          <w:tcPr>
            <w:tcW w:type="dxa" w:w="19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1A1A1A"/>
                <w:sz w:val="16"/>
                <w:szCs w:val="16"/>
              </w:rPr>
              <w:t xml:space="preserve">6. Publish</w:t>
            </w:r>
          </w:p>
        </w:tc>
        <w:tc>
          <w:tcPr>
            <w:tcW w:type="dxa" w:w="35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Gold tables are exported as static JSON with a build manifest</w:t>
            </w:r>
          </w:p>
        </w:tc>
        <w:tc>
          <w:tcPr>
            <w:tcW w:type="dxa" w:w="26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Dashboard data bundle</w:t>
            </w:r>
          </w:p>
        </w:tc>
        <w:tc>
          <w:tcPr>
            <w:tcW w:type="dxa" w:w="2106"/>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Build pipeline</w:t>
            </w:r>
          </w:p>
        </w:tc>
      </w:tr>
      <w:tr>
        <w:tc>
          <w:tcPr>
            <w:tcW w:type="dxa" w:w="19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1A1A1A"/>
                <w:sz w:val="16"/>
                <w:szCs w:val="16"/>
              </w:rPr>
              <w:t xml:space="preserve">7. Render</w:t>
            </w:r>
          </w:p>
        </w:tc>
        <w:tc>
          <w:tcPr>
            <w:tcW w:type="dxa" w:w="35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The site reads the bundle and draws the screens</w:t>
            </w:r>
          </w:p>
        </w:tc>
        <w:tc>
          <w:tcPr>
            <w:tcW w:type="dxa" w:w="26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The dashboard</w:t>
            </w:r>
          </w:p>
        </w:tc>
        <w:tc>
          <w:tcPr>
            <w:tcW w:type="dxa" w:w="2106"/>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6"/>
                <w:szCs w:val="16"/>
              </w:rPr>
              <w:t xml:space="preserve">Front end</w:t>
            </w:r>
          </w:p>
        </w:tc>
      </w:tr>
    </w:tbl>
    <w:p>
      <w:pPr>
        <w:spacing w:after="120" w:before="0"/>
      </w:pPr>
      <w:r>
        <w:rPr>
          <w:rFonts w:ascii="Aptos" w:cs="Aptos" w:eastAsia="Aptos" w:hAnsi="Aptos"/>
          <w:b w:val="false"/>
          <w:bCs w:val="false"/>
          <w:i w:val="false"/>
          <w:iCs w:val="false"/>
          <w:caps w:val="false"/>
          <w:color w:val="1A1A1A"/>
          <w:sz w:val="20"/>
          <w:szCs w:val="20"/>
        </w:rPr>
        <w:t xml:space="preserve"/>
      </w:r>
    </w:p>
    <w:p>
      <w:pPr>
        <w:spacing w:after="110" w:before="60"/>
        <w:jc w:val="left"/>
      </w:pPr>
      <w:r>
        <w:rPr>
          <w:rFonts w:ascii="Aptos" w:cs="Aptos" w:eastAsia="Aptos" w:hAnsi="Aptos"/>
          <w:b w:val="false"/>
          <w:bCs w:val="false"/>
          <w:i w:val="false"/>
          <w:iCs w:val="false"/>
          <w:caps w:val="false"/>
          <w:color w:val="1A1A1A"/>
          <w:sz w:val="20"/>
          <w:szCs w:val="20"/>
        </w:rPr>
        <w:t xml:space="preserve">A return that fails validation with a high severity finding never reaches stage 5. It is held and queried. The dashboard shows the country as awaiting clarification rather than showing a wrong figure, and that state is itself informative.</w:t>
      </w:r>
    </w:p>
    <w:p>
      <w:pPr>
        <w:spacing w:after="130" w:before="320"/>
      </w:pPr>
      <w:r>
        <w:rPr>
          <w:rFonts w:ascii="Aptos" w:cs="Aptos" w:eastAsia="Aptos" w:hAnsi="Aptos"/>
          <w:b/>
          <w:bCs/>
          <w:i w:val="false"/>
          <w:iCs w:val="false"/>
          <w:caps/>
          <w:color w:val="1A1A1A"/>
          <w:spacing w:val="14"/>
          <w:sz w:val="24"/>
          <w:szCs w:val="24"/>
        </w:rPr>
        <w:t xml:space="preserve">5.  Architecture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3100"/>
        <w:gridCol w:w="2606"/>
      </w:tblGrid>
      <w:tr>
        <w:trPr>
          <w:tblHeader/>
        </w:trPr>
        <w:tc>
          <w:tcPr>
            <w:tcW w:type="dxa" w:w="1700"/>
            <w:tcBorders>
              <w:top w:val="single" w:color="3F444B" w:sz="4"/>
              <w:left w:val="single" w:color="3F444B" w:sz="4"/>
              <w:bottom w:val="single" w:color="3F444B" w:sz="4"/>
              <w:right w:val="single" w:color="3F444B" w:sz="4"/>
            </w:tcBorders>
            <w:shd w:fill="3F444B"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FFFFFF"/>
                <w:sz w:val="15"/>
                <w:szCs w:val="15"/>
              </w:rPr>
              <w:t xml:space="preserve">Layer</w:t>
            </w:r>
          </w:p>
        </w:tc>
        <w:tc>
          <w:tcPr>
            <w:tcW w:type="dxa" w:w="2700"/>
            <w:tcBorders>
              <w:top w:val="single" w:color="3F444B" w:sz="4"/>
              <w:left w:val="single" w:color="3F444B" w:sz="4"/>
              <w:bottom w:val="single" w:color="3F444B" w:sz="4"/>
              <w:right w:val="single" w:color="3F444B" w:sz="4"/>
            </w:tcBorders>
            <w:shd w:fill="3F444B"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FFFFFF"/>
                <w:sz w:val="15"/>
                <w:szCs w:val="15"/>
              </w:rPr>
              <w:t xml:space="preserve">Choice</w:t>
            </w:r>
          </w:p>
        </w:tc>
        <w:tc>
          <w:tcPr>
            <w:tcW w:type="dxa" w:w="3100"/>
            <w:tcBorders>
              <w:top w:val="single" w:color="3F444B" w:sz="4"/>
              <w:left w:val="single" w:color="3F444B" w:sz="4"/>
              <w:bottom w:val="single" w:color="3F444B" w:sz="4"/>
              <w:right w:val="single" w:color="3F444B" w:sz="4"/>
            </w:tcBorders>
            <w:shd w:fill="3F444B"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FFFFFF"/>
                <w:sz w:val="15"/>
                <w:szCs w:val="15"/>
              </w:rPr>
              <w:t xml:space="preserve">Why</w:t>
            </w:r>
          </w:p>
        </w:tc>
        <w:tc>
          <w:tcPr>
            <w:tcW w:type="dxa" w:w="2606"/>
            <w:tcBorders>
              <w:top w:val="single" w:color="3F444B" w:sz="4"/>
              <w:left w:val="single" w:color="3F444B" w:sz="4"/>
              <w:bottom w:val="single" w:color="3F444B" w:sz="4"/>
              <w:right w:val="single" w:color="3F444B" w:sz="4"/>
            </w:tcBorders>
            <w:shd w:fill="3F444B"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FFFFFF"/>
                <w:sz w:val="15"/>
                <w:szCs w:val="15"/>
              </w:rPr>
              <w:t xml:space="preserve">Alternative if constrained</w:t>
            </w:r>
          </w:p>
        </w:tc>
      </w:tr>
      <w:tr>
        <w:tc>
          <w:tcPr>
            <w:tcW w:type="dxa" w:w="17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1A1A1A"/>
                <w:sz w:val="15"/>
                <w:szCs w:val="15"/>
              </w:rPr>
              <w:t xml:space="preserve">Parser</w:t>
            </w:r>
          </w:p>
        </w:tc>
        <w:tc>
          <w:tcPr>
            <w:tcW w:type="dxa" w:w="27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5"/>
                <w:szCs w:val="15"/>
              </w:rPr>
              <w:t xml:space="preserve">Python with python-docx</w:t>
            </w:r>
          </w:p>
        </w:tc>
        <w:tc>
          <w:tcPr>
            <w:tcW w:type="dxa" w:w="31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5"/>
                <w:szCs w:val="15"/>
              </w:rPr>
              <w:t xml:space="preserve">Already written and tested against the form; reads drop-down content controls</w:t>
            </w:r>
          </w:p>
        </w:tc>
        <w:tc>
          <w:tcPr>
            <w:tcW w:type="dxa" w:w="2606"/>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5"/>
                <w:szCs w:val="15"/>
              </w:rPr>
              <w:t xml:space="preserve">None; the form is the contract</w:t>
            </w:r>
          </w:p>
        </w:tc>
      </w:tr>
      <w:tr>
        <w:tc>
          <w:tcPr>
            <w:tcW w:type="dxa" w:w="17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1A1A1A"/>
                <w:sz w:val="15"/>
                <w:szCs w:val="15"/>
              </w:rPr>
              <w:t xml:space="preserve">Store</w:t>
            </w:r>
          </w:p>
        </w:tc>
        <w:tc>
          <w:tcPr>
            <w:tcW w:type="dxa" w:w="27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5"/>
                <w:szCs w:val="15"/>
              </w:rPr>
              <w:t xml:space="preserve">SQLite or PostgreSQL</w:t>
            </w:r>
          </w:p>
        </w:tc>
        <w:tc>
          <w:tcPr>
            <w:tcW w:type="dxa" w:w="31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5"/>
                <w:szCs w:val="15"/>
              </w:rPr>
              <w:t xml:space="preserve">Thirty-one countries by four quarters is small; a relational store is sufficient and portable</w:t>
            </w:r>
          </w:p>
        </w:tc>
        <w:tc>
          <w:tcPr>
            <w:tcW w:type="dxa" w:w="2606"/>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5"/>
                <w:szCs w:val="15"/>
              </w:rPr>
              <w:t xml:space="preserve">DuckDB with Parquet files</w:t>
            </w:r>
          </w:p>
        </w:tc>
      </w:tr>
      <w:tr>
        <w:tc>
          <w:tcPr>
            <w:tcW w:type="dxa" w:w="17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1A1A1A"/>
                <w:sz w:val="15"/>
                <w:szCs w:val="15"/>
              </w:rPr>
              <w:t xml:space="preserve">Transformation</w:t>
            </w:r>
          </w:p>
        </w:tc>
        <w:tc>
          <w:tcPr>
            <w:tcW w:type="dxa" w:w="27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5"/>
                <w:szCs w:val="15"/>
              </w:rPr>
              <w:t xml:space="preserve">SQL held in version control, one file per indicator</w:t>
            </w:r>
          </w:p>
        </w:tc>
        <w:tc>
          <w:tcPr>
            <w:tcW w:type="dxa" w:w="31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5"/>
                <w:szCs w:val="15"/>
              </w:rPr>
              <w:t xml:space="preserve">Every indicator has one implementation, auditable and testable</w:t>
            </w:r>
          </w:p>
        </w:tc>
        <w:tc>
          <w:tcPr>
            <w:tcW w:type="dxa" w:w="2606"/>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5"/>
                <w:szCs w:val="15"/>
              </w:rPr>
              <w:t xml:space="preserve">R or Python scripts organised as a package</w:t>
            </w:r>
          </w:p>
        </w:tc>
      </w:tr>
      <w:tr>
        <w:tc>
          <w:tcPr>
            <w:tcW w:type="dxa" w:w="17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1A1A1A"/>
                <w:sz w:val="15"/>
                <w:szCs w:val="15"/>
              </w:rPr>
              <w:t xml:space="preserve">Data bundle</w:t>
            </w:r>
          </w:p>
        </w:tc>
        <w:tc>
          <w:tcPr>
            <w:tcW w:type="dxa" w:w="27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5"/>
                <w:szCs w:val="15"/>
              </w:rPr>
              <w:t xml:space="preserve">Static JSON, one file per screen, plus a manifest with the build date and the source periods</w:t>
            </w:r>
          </w:p>
        </w:tc>
        <w:tc>
          <w:tcPr>
            <w:tcW w:type="dxa" w:w="31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5"/>
                <w:szCs w:val="15"/>
              </w:rPr>
              <w:t xml:space="preserve">No backend to run, host or secure; the bundle is the API</w:t>
            </w:r>
          </w:p>
        </w:tc>
        <w:tc>
          <w:tcPr>
            <w:tcW w:type="dxa" w:w="2606"/>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5"/>
                <w:szCs w:val="15"/>
              </w:rPr>
              <w:t xml:space="preserve">CSV if JSON is refused</w:t>
            </w:r>
          </w:p>
        </w:tc>
      </w:tr>
      <w:tr>
        <w:tc>
          <w:tcPr>
            <w:tcW w:type="dxa" w:w="17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1A1A1A"/>
                <w:sz w:val="15"/>
                <w:szCs w:val="15"/>
              </w:rPr>
              <w:t xml:space="preserve">Front end</w:t>
            </w:r>
          </w:p>
        </w:tc>
        <w:tc>
          <w:tcPr>
            <w:tcW w:type="dxa" w:w="27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5"/>
                <w:szCs w:val="15"/>
              </w:rPr>
              <w:t xml:space="preserve">Single-page static site, vanilla JavaScript or a light framework, charts drawn with a small library</w:t>
            </w:r>
          </w:p>
        </w:tc>
        <w:tc>
          <w:tcPr>
            <w:tcW w:type="dxa" w:w="31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5"/>
                <w:szCs w:val="15"/>
              </w:rPr>
              <w:t xml:space="preserve">Runs anywhere, loads fast on a constrained connection, no build server required in production</w:t>
            </w:r>
          </w:p>
        </w:tc>
        <w:tc>
          <w:tcPr>
            <w:tcW w:type="dxa" w:w="2606"/>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5"/>
                <w:szCs w:val="15"/>
              </w:rPr>
              <w:t xml:space="preserve">Any framework the team maintains</w:t>
            </w:r>
          </w:p>
        </w:tc>
      </w:tr>
      <w:tr>
        <w:tc>
          <w:tcPr>
            <w:tcW w:type="dxa" w:w="17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1A1A1A"/>
                <w:sz w:val="15"/>
                <w:szCs w:val="15"/>
              </w:rPr>
              <w:t xml:space="preserve">Hosting</w:t>
            </w:r>
          </w:p>
        </w:tc>
        <w:tc>
          <w:tcPr>
            <w:tcW w:type="dxa" w:w="27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5"/>
                <w:szCs w:val="15"/>
              </w:rPr>
              <w:t xml:space="preserve">WHO AFRO infrastructure, internal view behind authentication, public view with suppression applied</w:t>
            </w:r>
          </w:p>
        </w:tc>
        <w:tc>
          <w:tcPr>
            <w:tcW w:type="dxa" w:w="3100"/>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5"/>
                <w:szCs w:val="15"/>
              </w:rPr>
              <w:t xml:space="preserve">Data sovereignty and suppression obligations</w:t>
            </w:r>
          </w:p>
        </w:tc>
        <w:tc>
          <w:tcPr>
            <w:tcW w:type="dxa" w:w="2606"/>
            <w:tcBorders>
              <w:top w:val="single" w:color="A8ADB4" w:sz="4"/>
              <w:left w:val="single" w:color="A8ADB4" w:sz="4"/>
              <w:bottom w:val="single" w:color="A8ADB4" w:sz="4"/>
              <w:right w:val="single" w:color="A8ADB4" w:sz="4"/>
            </w:tcBorders>
            <w:shd w:fill="F4F5F6" w:color="auto" w:val="clear"/>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5"/>
                <w:szCs w:val="15"/>
              </w:rPr>
              <w:t xml:space="preserve">Internal only, with PDF exports for external sharing</w:t>
            </w:r>
          </w:p>
        </w:tc>
      </w:tr>
      <w:tr>
        <w:tc>
          <w:tcPr>
            <w:tcW w:type="dxa" w:w="17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bCs/>
                <w:i w:val="false"/>
                <w:iCs w:val="false"/>
                <w:caps w:val="false"/>
                <w:color w:val="1A1A1A"/>
                <w:sz w:val="15"/>
                <w:szCs w:val="15"/>
              </w:rPr>
              <w:t xml:space="preserve">Refresh</w:t>
            </w:r>
          </w:p>
        </w:tc>
        <w:tc>
          <w:tcPr>
            <w:tcW w:type="dxa" w:w="27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5"/>
                <w:szCs w:val="15"/>
              </w:rPr>
              <w:t xml:space="preserve">Rebuilt on each publication round, not continuously</w:t>
            </w:r>
          </w:p>
        </w:tc>
        <w:tc>
          <w:tcPr>
            <w:tcW w:type="dxa" w:w="3100"/>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5"/>
                <w:szCs w:val="15"/>
              </w:rPr>
              <w:t xml:space="preserve">The data is quarterly; a live feed implies a currency the data does not have</w:t>
            </w:r>
          </w:p>
        </w:tc>
        <w:tc>
          <w:tcPr>
            <w:tcW w:type="dxa" w:w="2606"/>
            <w:tcBorders>
              <w:top w:val="single" w:color="A8ADB4" w:sz="4"/>
              <w:left w:val="single" w:color="A8ADB4" w:sz="4"/>
              <w:bottom w:val="single" w:color="A8ADB4" w:sz="4"/>
              <w:right w:val="single" w:color="A8ADB4" w:sz="4"/>
            </w:tcBorders>
            <w:tcMar>
              <w:top w:type="dxa" w:w="60"/>
              <w:left w:type="dxa" w:w="95"/>
              <w:bottom w:type="dxa" w:w="60"/>
              <w:right w:type="dxa" w:w="95"/>
            </w:tcMar>
            <w:vAlign w:val="top"/>
          </w:tcPr>
          <w:p>
            <w:pPr>
              <w:spacing w:after="60" w:before="60"/>
              <w:jc w:val="left"/>
            </w:pPr>
            <w:r>
              <w:rPr>
                <w:rFonts w:ascii="Aptos" w:cs="Aptos" w:eastAsia="Aptos" w:hAnsi="Aptos"/>
                <w:b w:val="false"/>
                <w:bCs w:val="false"/>
                <w:i w:val="false"/>
                <w:iCs w:val="false"/>
                <w:caps w:val="false"/>
                <w:color w:val="1A1A1A"/>
                <w:sz w:val="15"/>
                <w:szCs w:val="15"/>
              </w:rPr>
              <w:t xml:space="preserve">None</w:t>
            </w:r>
          </w:p>
        </w:tc>
      </w:tr>
    </w:tbl>
    <w:p>
      <w:r>
        <w:br w:type="page"/>
      </w:r>
    </w:p>
    <w:p>
      <w:pPr>
        <w:spacing w:after="130" w:before="320"/>
      </w:pPr>
      <w:r>
        <w:rPr>
          <w:rFonts w:ascii="Aptos" w:cs="Aptos" w:eastAsia="Aptos" w:hAnsi="Aptos"/>
          <w:b/>
          <w:bCs/>
          <w:i w:val="false"/>
          <w:iCs w:val="false"/>
          <w:caps/>
          <w:color w:val="1A1A1A"/>
          <w:spacing w:val="14"/>
          <w:sz w:val="24"/>
          <w:szCs w:val="24"/>
        </w:rPr>
        <w:t xml:space="preserve">6.  Design system</w:t>
      </w:r>
    </w:p>
    <w:p>
      <w:pPr>
        <w:spacing w:after="40" w:before="40"/>
      </w:pPr>
      <w:r>
        <w:rPr>
          <w:rFonts w:ascii="Aptos" w:cs="Aptos" w:eastAsia="Aptos" w:hAnsi="Aptos"/>
          <w:b w:val="false"/>
          <w:bCs w:val="false"/>
          <w:i w:val="false"/>
          <w:iCs w:val="false"/>
          <w:caps w:val="false"/>
          <w:color w:val="1A1A1A"/>
          <w:sz w:val="20"/>
          <w:szCs w:val="20"/>
        </w:rPr>
        <w:t xml:space="preserve">–   </w:t>
      </w:r>
      <w:r>
        <w:rPr>
          <w:rFonts w:ascii="Aptos" w:cs="Aptos" w:eastAsia="Aptos" w:hAnsi="Aptos"/>
          <w:b w:val="false"/>
          <w:bCs w:val="false"/>
          <w:i w:val="false"/>
          <w:iCs w:val="false"/>
          <w:caps w:val="false"/>
          <w:color w:val="1A1A1A"/>
          <w:sz w:val="20"/>
          <w:szCs w:val="20"/>
        </w:rPr>
        <w:t xml:space="preserve">One primary colour, WHO institutional navy, and one accent used only for gap to milestone and for alerts. Colour is never decorative.</w:t>
      </w:r>
    </w:p>
    <w:p>
      <w:pPr>
        <w:spacing w:after="40" w:before="40"/>
      </w:pPr>
      <w:r>
        <w:rPr>
          <w:rFonts w:ascii="Aptos" w:cs="Aptos" w:eastAsia="Aptos" w:hAnsi="Aptos"/>
          <w:b w:val="false"/>
          <w:bCs w:val="false"/>
          <w:i w:val="false"/>
          <w:iCs w:val="false"/>
          <w:caps w:val="false"/>
          <w:color w:val="1A1A1A"/>
          <w:sz w:val="20"/>
          <w:szCs w:val="20"/>
        </w:rPr>
        <w:t xml:space="preserve">–   </w:t>
      </w:r>
      <w:r>
        <w:rPr>
          <w:rFonts w:ascii="Aptos" w:cs="Aptos" w:eastAsia="Aptos" w:hAnsi="Aptos"/>
          <w:b w:val="false"/>
          <w:bCs w:val="false"/>
          <w:i w:val="false"/>
          <w:iCs w:val="false"/>
          <w:caps w:val="false"/>
          <w:color w:val="1A1A1A"/>
          <w:sz w:val="20"/>
          <w:szCs w:val="20"/>
        </w:rPr>
        <w:t xml:space="preserve">Status vocabulary, used everywhere: met, partly met, not met, not reported. Four states, four marks, never more.</w:t>
      </w:r>
    </w:p>
    <w:p>
      <w:pPr>
        <w:spacing w:after="40" w:before="40"/>
      </w:pPr>
      <w:r>
        <w:rPr>
          <w:rFonts w:ascii="Aptos" w:cs="Aptos" w:eastAsia="Aptos" w:hAnsi="Aptos"/>
          <w:b w:val="false"/>
          <w:bCs w:val="false"/>
          <w:i w:val="false"/>
          <w:iCs w:val="false"/>
          <w:caps w:val="false"/>
          <w:color w:val="1A1A1A"/>
          <w:sz w:val="20"/>
          <w:szCs w:val="20"/>
        </w:rPr>
        <w:t xml:space="preserve">–   </w:t>
      </w:r>
      <w:r>
        <w:rPr>
          <w:rFonts w:ascii="Aptos" w:cs="Aptos" w:eastAsia="Aptos" w:hAnsi="Aptos"/>
          <w:b w:val="false"/>
          <w:bCs w:val="false"/>
          <w:i w:val="false"/>
          <w:iCs w:val="false"/>
          <w:caps w:val="false"/>
          <w:color w:val="1A1A1A"/>
          <w:sz w:val="20"/>
          <w:szCs w:val="20"/>
        </w:rPr>
        <w:t xml:space="preserve">Typography: a single family, three sizes for figures, labels and body. Numbers set in tabular figures so columns align.</w:t>
      </w:r>
    </w:p>
    <w:p>
      <w:pPr>
        <w:spacing w:after="40" w:before="40"/>
      </w:pPr>
      <w:r>
        <w:rPr>
          <w:rFonts w:ascii="Aptos" w:cs="Aptos" w:eastAsia="Aptos" w:hAnsi="Aptos"/>
          <w:b w:val="false"/>
          <w:bCs w:val="false"/>
          <w:i w:val="false"/>
          <w:iCs w:val="false"/>
          <w:caps w:val="false"/>
          <w:color w:val="1A1A1A"/>
          <w:sz w:val="20"/>
          <w:szCs w:val="20"/>
        </w:rPr>
        <w:t xml:space="preserve">–   </w:t>
      </w:r>
      <w:r>
        <w:rPr>
          <w:rFonts w:ascii="Aptos" w:cs="Aptos" w:eastAsia="Aptos" w:hAnsi="Aptos"/>
          <w:b w:val="false"/>
          <w:bCs w:val="false"/>
          <w:i w:val="false"/>
          <w:iCs w:val="false"/>
          <w:caps w:val="false"/>
          <w:color w:val="1A1A1A"/>
          <w:sz w:val="20"/>
          <w:szCs w:val="20"/>
        </w:rPr>
        <w:t xml:space="preserve">Charts: horizontal bars for comparison across countries, lines for trend, dot plots for distribution. No pie charts, no stacked areas, no dual axes, no three-dimensional effects.</w:t>
      </w:r>
    </w:p>
    <w:p>
      <w:pPr>
        <w:spacing w:after="40" w:before="40"/>
      </w:pPr>
      <w:r>
        <w:rPr>
          <w:rFonts w:ascii="Aptos" w:cs="Aptos" w:eastAsia="Aptos" w:hAnsi="Aptos"/>
          <w:b w:val="false"/>
          <w:bCs w:val="false"/>
          <w:i w:val="false"/>
          <w:iCs w:val="false"/>
          <w:caps w:val="false"/>
          <w:color w:val="1A1A1A"/>
          <w:sz w:val="20"/>
          <w:szCs w:val="20"/>
        </w:rPr>
        <w:t xml:space="preserve">–   </w:t>
      </w:r>
      <w:r>
        <w:rPr>
          <w:rFonts w:ascii="Aptos" w:cs="Aptos" w:eastAsia="Aptos" w:hAnsi="Aptos"/>
          <w:b w:val="false"/>
          <w:bCs w:val="false"/>
          <w:i w:val="false"/>
          <w:iCs w:val="false"/>
          <w:caps w:val="false"/>
          <w:color w:val="1A1A1A"/>
          <w:sz w:val="20"/>
          <w:szCs w:val="20"/>
        </w:rPr>
        <w:t xml:space="preserve">The map situates, it does not rank. It is never the first element of a screen, and it carries no colour scale that implies performance.</w:t>
      </w:r>
    </w:p>
    <w:p>
      <w:pPr>
        <w:spacing w:after="40" w:before="40"/>
      </w:pPr>
      <w:r>
        <w:rPr>
          <w:rFonts w:ascii="Aptos" w:cs="Aptos" w:eastAsia="Aptos" w:hAnsi="Aptos"/>
          <w:b w:val="false"/>
          <w:bCs w:val="false"/>
          <w:i w:val="false"/>
          <w:iCs w:val="false"/>
          <w:caps w:val="false"/>
          <w:color w:val="1A1A1A"/>
          <w:sz w:val="20"/>
          <w:szCs w:val="20"/>
        </w:rPr>
        <w:t xml:space="preserve">–   </w:t>
      </w:r>
      <w:r>
        <w:rPr>
          <w:rFonts w:ascii="Aptos" w:cs="Aptos" w:eastAsia="Aptos" w:hAnsi="Aptos"/>
          <w:b w:val="false"/>
          <w:bCs w:val="false"/>
          <w:i w:val="false"/>
          <w:iCs w:val="false"/>
          <w:caps w:val="false"/>
          <w:color w:val="1A1A1A"/>
          <w:sz w:val="20"/>
          <w:szCs w:val="20"/>
        </w:rPr>
        <w:t xml:space="preserve">Every screen has a print and PDF export, because review meetings happen without connectivity.</w:t>
      </w:r>
    </w:p>
    <w:p>
      <w:pPr>
        <w:spacing w:after="40" w:before="40"/>
      </w:pPr>
      <w:r>
        <w:rPr>
          <w:rFonts w:ascii="Aptos" w:cs="Aptos" w:eastAsia="Aptos" w:hAnsi="Aptos"/>
          <w:b w:val="false"/>
          <w:bCs w:val="false"/>
          <w:i w:val="false"/>
          <w:iCs w:val="false"/>
          <w:caps w:val="false"/>
          <w:color w:val="1A1A1A"/>
          <w:sz w:val="20"/>
          <w:szCs w:val="20"/>
        </w:rPr>
        <w:t xml:space="preserve">–   </w:t>
      </w:r>
      <w:r>
        <w:rPr>
          <w:rFonts w:ascii="Aptos" w:cs="Aptos" w:eastAsia="Aptos" w:hAnsi="Aptos"/>
          <w:b w:val="false"/>
          <w:bCs w:val="false"/>
          <w:i w:val="false"/>
          <w:iCs w:val="false"/>
          <w:caps w:val="false"/>
          <w:color w:val="1A1A1A"/>
          <w:sz w:val="20"/>
          <w:szCs w:val="20"/>
        </w:rPr>
        <w:t xml:space="preserve">Interface strings come from the indicator registry, in English, French and Portuguese. No string is translated inside a component.</w:t>
      </w:r>
    </w:p>
    <w:p>
      <w:pPr>
        <w:spacing w:after="130" w:before="320"/>
      </w:pPr>
      <w:r>
        <w:rPr>
          <w:rFonts w:ascii="Aptos" w:cs="Aptos" w:eastAsia="Aptos" w:hAnsi="Aptos"/>
          <w:b/>
          <w:bCs/>
          <w:i w:val="false"/>
          <w:iCs w:val="false"/>
          <w:caps/>
          <w:color w:val="1A1A1A"/>
          <w:spacing w:val="14"/>
          <w:sz w:val="24"/>
          <w:szCs w:val="24"/>
        </w:rPr>
        <w:t xml:space="preserve">7.  Accessibility and performance</w:t>
      </w:r>
    </w:p>
    <w:p>
      <w:pPr>
        <w:spacing w:after="40" w:before="40"/>
      </w:pPr>
      <w:r>
        <w:rPr>
          <w:rFonts w:ascii="Aptos" w:cs="Aptos" w:eastAsia="Aptos" w:hAnsi="Aptos"/>
          <w:b w:val="false"/>
          <w:bCs w:val="false"/>
          <w:i w:val="false"/>
          <w:iCs w:val="false"/>
          <w:caps w:val="false"/>
          <w:color w:val="1A1A1A"/>
          <w:sz w:val="20"/>
          <w:szCs w:val="20"/>
        </w:rPr>
        <w:t xml:space="preserve">–   </w:t>
      </w:r>
      <w:r>
        <w:rPr>
          <w:rFonts w:ascii="Aptos" w:cs="Aptos" w:eastAsia="Aptos" w:hAnsi="Aptos"/>
          <w:b w:val="false"/>
          <w:bCs w:val="false"/>
          <w:i w:val="false"/>
          <w:iCs w:val="false"/>
          <w:caps w:val="false"/>
          <w:color w:val="1A1A1A"/>
          <w:sz w:val="20"/>
          <w:szCs w:val="20"/>
        </w:rPr>
        <w:t xml:space="preserve">Contrast ratio of at least 4.5 to 1 for text, and no information conveyed by hue alone.</w:t>
      </w:r>
    </w:p>
    <w:p>
      <w:pPr>
        <w:spacing w:after="40" w:before="40"/>
      </w:pPr>
      <w:r>
        <w:rPr>
          <w:rFonts w:ascii="Aptos" w:cs="Aptos" w:eastAsia="Aptos" w:hAnsi="Aptos"/>
          <w:b w:val="false"/>
          <w:bCs w:val="false"/>
          <w:i w:val="false"/>
          <w:iCs w:val="false"/>
          <w:caps w:val="false"/>
          <w:color w:val="1A1A1A"/>
          <w:sz w:val="20"/>
          <w:szCs w:val="20"/>
        </w:rPr>
        <w:t xml:space="preserve">–   </w:t>
      </w:r>
      <w:r>
        <w:rPr>
          <w:rFonts w:ascii="Aptos" w:cs="Aptos" w:eastAsia="Aptos" w:hAnsi="Aptos"/>
          <w:b w:val="false"/>
          <w:bCs w:val="false"/>
          <w:i w:val="false"/>
          <w:iCs w:val="false"/>
          <w:caps w:val="false"/>
          <w:color w:val="1A1A1A"/>
          <w:sz w:val="20"/>
          <w:szCs w:val="20"/>
        </w:rPr>
        <w:t xml:space="preserve">Fully operable by keyboard; every chart has a table equivalent reachable without a mouse.</w:t>
      </w:r>
    </w:p>
    <w:p>
      <w:pPr>
        <w:spacing w:after="40" w:before="40"/>
      </w:pPr>
      <w:r>
        <w:rPr>
          <w:rFonts w:ascii="Aptos" w:cs="Aptos" w:eastAsia="Aptos" w:hAnsi="Aptos"/>
          <w:b w:val="false"/>
          <w:bCs w:val="false"/>
          <w:i w:val="false"/>
          <w:iCs w:val="false"/>
          <w:caps w:val="false"/>
          <w:color w:val="1A1A1A"/>
          <w:sz w:val="20"/>
          <w:szCs w:val="20"/>
        </w:rPr>
        <w:t xml:space="preserve">–   </w:t>
      </w:r>
      <w:r>
        <w:rPr>
          <w:rFonts w:ascii="Aptos" w:cs="Aptos" w:eastAsia="Aptos" w:hAnsi="Aptos"/>
          <w:b w:val="false"/>
          <w:bCs w:val="false"/>
          <w:i w:val="false"/>
          <w:iCs w:val="false"/>
          <w:caps w:val="false"/>
          <w:color w:val="1A1A1A"/>
          <w:sz w:val="20"/>
          <w:szCs w:val="20"/>
        </w:rPr>
        <w:t xml:space="preserve">First meaningful paint under three seconds on a 3G connection. The data bundle for one screen stays under 500 kilobytes.</w:t>
      </w:r>
    </w:p>
    <w:p>
      <w:pPr>
        <w:spacing w:after="40" w:before="40"/>
      </w:pPr>
      <w:r>
        <w:rPr>
          <w:rFonts w:ascii="Aptos" w:cs="Aptos" w:eastAsia="Aptos" w:hAnsi="Aptos"/>
          <w:b w:val="false"/>
          <w:bCs w:val="false"/>
          <w:i w:val="false"/>
          <w:iCs w:val="false"/>
          <w:caps w:val="false"/>
          <w:color w:val="1A1A1A"/>
          <w:sz w:val="20"/>
          <w:szCs w:val="20"/>
        </w:rPr>
        <w:t xml:space="preserve">–   </w:t>
      </w:r>
      <w:r>
        <w:rPr>
          <w:rFonts w:ascii="Aptos" w:cs="Aptos" w:eastAsia="Aptos" w:hAnsi="Aptos"/>
          <w:b w:val="false"/>
          <w:bCs w:val="false"/>
          <w:i w:val="false"/>
          <w:iCs w:val="false"/>
          <w:caps w:val="false"/>
          <w:color w:val="1A1A1A"/>
          <w:sz w:val="20"/>
          <w:szCs w:val="20"/>
        </w:rPr>
        <w:t xml:space="preserve">The site degrades to readable tables if scripting fails.</w:t>
      </w:r>
    </w:p>
    <w:p>
      <w:pPr>
        <w:spacing w:after="130" w:before="320"/>
      </w:pPr>
      <w:r>
        <w:rPr>
          <w:rFonts w:ascii="Aptos" w:cs="Aptos" w:eastAsia="Aptos" w:hAnsi="Aptos"/>
          <w:b/>
          <w:bCs/>
          <w:i w:val="false"/>
          <w:iCs w:val="false"/>
          <w:caps/>
          <w:color w:val="1A1A1A"/>
          <w:spacing w:val="14"/>
          <w:sz w:val="24"/>
          <w:szCs w:val="24"/>
        </w:rPr>
        <w:t xml:space="preserve">8.  Security and data protection</w:t>
      </w:r>
    </w:p>
    <w:p>
      <w:pPr>
        <w:spacing w:after="40" w:before="40"/>
      </w:pPr>
      <w:r>
        <w:rPr>
          <w:rFonts w:ascii="Aptos" w:cs="Aptos" w:eastAsia="Aptos" w:hAnsi="Aptos"/>
          <w:b w:val="false"/>
          <w:bCs w:val="false"/>
          <w:i w:val="false"/>
          <w:iCs w:val="false"/>
          <w:caps w:val="false"/>
          <w:color w:val="1A1A1A"/>
          <w:sz w:val="20"/>
          <w:szCs w:val="20"/>
        </w:rPr>
        <w:t xml:space="preserve">–   </w:t>
      </w:r>
      <w:r>
        <w:rPr>
          <w:rFonts w:ascii="Aptos" w:cs="Aptos" w:eastAsia="Aptos" w:hAnsi="Aptos"/>
          <w:b w:val="false"/>
          <w:bCs w:val="false"/>
          <w:i w:val="false"/>
          <w:iCs w:val="false"/>
          <w:caps w:val="false"/>
          <w:color w:val="1A1A1A"/>
          <w:sz w:val="20"/>
          <w:szCs w:val="20"/>
        </w:rPr>
        <w:t xml:space="preserve">No patient-level data reaches the dashboard. The finest grain published is the facility.</w:t>
      </w:r>
    </w:p>
    <w:p>
      <w:pPr>
        <w:spacing w:after="40" w:before="40"/>
      </w:pPr>
      <w:r>
        <w:rPr>
          <w:rFonts w:ascii="Aptos" w:cs="Aptos" w:eastAsia="Aptos" w:hAnsi="Aptos"/>
          <w:b w:val="false"/>
          <w:bCs w:val="false"/>
          <w:i w:val="false"/>
          <w:iCs w:val="false"/>
          <w:caps w:val="false"/>
          <w:color w:val="1A1A1A"/>
          <w:sz w:val="20"/>
          <w:szCs w:val="20"/>
        </w:rPr>
        <w:t xml:space="preserve">–   </w:t>
      </w:r>
      <w:r>
        <w:rPr>
          <w:rFonts w:ascii="Aptos" w:cs="Aptos" w:eastAsia="Aptos" w:hAnsi="Aptos"/>
          <w:b w:val="false"/>
          <w:bCs w:val="false"/>
          <w:i w:val="false"/>
          <w:iCs w:val="false"/>
          <w:caps w:val="false"/>
          <w:color w:val="1A1A1A"/>
          <w:sz w:val="20"/>
          <w:szCs w:val="20"/>
        </w:rPr>
        <w:t xml:space="preserve">Facility-level figures are visible in the internal view only. The public view aggregates to district or country and applies suppression.</w:t>
      </w:r>
    </w:p>
    <w:p>
      <w:pPr>
        <w:spacing w:after="40" w:before="40"/>
      </w:pPr>
      <w:r>
        <w:rPr>
          <w:rFonts w:ascii="Aptos" w:cs="Aptos" w:eastAsia="Aptos" w:hAnsi="Aptos"/>
          <w:b w:val="false"/>
          <w:bCs w:val="false"/>
          <w:i w:val="false"/>
          <w:iCs w:val="false"/>
          <w:caps w:val="false"/>
          <w:color w:val="1A1A1A"/>
          <w:sz w:val="20"/>
          <w:szCs w:val="20"/>
        </w:rPr>
        <w:t xml:space="preserve">–   </w:t>
      </w:r>
      <w:r>
        <w:rPr>
          <w:rFonts w:ascii="Aptos" w:cs="Aptos" w:eastAsia="Aptos" w:hAnsi="Aptos"/>
          <w:b w:val="false"/>
          <w:bCs w:val="false"/>
          <w:i w:val="false"/>
          <w:iCs w:val="false"/>
          <w:caps w:val="false"/>
          <w:color w:val="1A1A1A"/>
          <w:sz w:val="20"/>
          <w:szCs w:val="20"/>
        </w:rPr>
        <w:t xml:space="preserve">The internal view is authenticated and access is reviewed every six months against a named list.</w:t>
      </w:r>
    </w:p>
    <w:p>
      <w:pPr>
        <w:spacing w:after="40" w:before="40"/>
      </w:pPr>
      <w:r>
        <w:rPr>
          <w:rFonts w:ascii="Aptos" w:cs="Aptos" w:eastAsia="Aptos" w:hAnsi="Aptos"/>
          <w:b w:val="false"/>
          <w:bCs w:val="false"/>
          <w:i w:val="false"/>
          <w:iCs w:val="false"/>
          <w:caps w:val="false"/>
          <w:color w:val="1A1A1A"/>
          <w:sz w:val="20"/>
          <w:szCs w:val="20"/>
        </w:rPr>
        <w:t xml:space="preserve">–   </w:t>
      </w:r>
      <w:r>
        <w:rPr>
          <w:rFonts w:ascii="Aptos" w:cs="Aptos" w:eastAsia="Aptos" w:hAnsi="Aptos"/>
          <w:b w:val="false"/>
          <w:bCs w:val="false"/>
          <w:i w:val="false"/>
          <w:iCs w:val="false"/>
          <w:caps w:val="false"/>
          <w:color w:val="1A1A1A"/>
          <w:sz w:val="20"/>
          <w:szCs w:val="20"/>
        </w:rPr>
        <w:t xml:space="preserve">No country figure appears in any view before the national programme has seen it. The publication step includes a hold flag that the Regional Office clears per country.</w:t>
      </w:r>
    </w:p>
    <w:p>
      <w:pPr>
        <w:spacing w:after="130" w:before="320"/>
      </w:pPr>
      <w:r>
        <w:rPr>
          <w:rFonts w:ascii="Aptos" w:cs="Aptos" w:eastAsia="Aptos" w:hAnsi="Aptos"/>
          <w:b/>
          <w:bCs/>
          <w:i w:val="false"/>
          <w:iCs w:val="false"/>
          <w:caps/>
          <w:color w:val="1A1A1A"/>
          <w:spacing w:val="14"/>
          <w:sz w:val="24"/>
          <w:szCs w:val="24"/>
        </w:rPr>
        <w:t xml:space="preserve">9.  Acceptance criteria</w:t>
      </w:r>
    </w:p>
    <w:p>
      <w:pPr>
        <w:spacing w:after="110" w:before="60"/>
        <w:jc w:val="left"/>
      </w:pPr>
      <w:r>
        <w:rPr>
          <w:rFonts w:ascii="Aptos" w:cs="Aptos" w:eastAsia="Aptos" w:hAnsi="Aptos"/>
          <w:b w:val="false"/>
          <w:bCs w:val="false"/>
          <w:i w:val="false"/>
          <w:iCs w:val="false"/>
          <w:caps w:val="false"/>
          <w:color w:val="1A1A1A"/>
          <w:sz w:val="20"/>
          <w:szCs w:val="20"/>
        </w:rPr>
        <w:t xml:space="preserve">The build is accepted when all of the following are demonstrated on real returns, not on synthetic data.</w:t>
      </w:r>
    </w:p>
    <w:p>
      <w:pPr>
        <w:spacing w:after="40" w:before="40"/>
      </w:pPr>
      <w:r>
        <w:rPr>
          <w:rFonts w:ascii="Aptos" w:cs="Aptos" w:eastAsia="Aptos" w:hAnsi="Aptos"/>
          <w:b/>
          <w:bCs/>
          <w:i w:val="false"/>
          <w:iCs w:val="false"/>
          <w:caps w:val="false"/>
          <w:color w:val="1A1A1A"/>
          <w:sz w:val="20"/>
          <w:szCs w:val="20"/>
        </w:rPr>
        <w:t xml:space="preserve">1.  </w:t>
      </w:r>
      <w:r>
        <w:rPr>
          <w:rFonts w:ascii="Aptos" w:cs="Aptos" w:eastAsia="Aptos" w:hAnsi="Aptos"/>
          <w:b w:val="false"/>
          <w:bCs w:val="false"/>
          <w:i w:val="false"/>
          <w:iCs w:val="false"/>
          <w:caps w:val="false"/>
          <w:color w:val="1A1A1A"/>
          <w:sz w:val="20"/>
          <w:szCs w:val="20"/>
        </w:rPr>
        <w:t xml:space="preserve">A completed Word return is parsed, validated and rendered on the dashboard without a single manual transcription.</w:t>
      </w:r>
    </w:p>
    <w:p>
      <w:pPr>
        <w:spacing w:after="40" w:before="40"/>
      </w:pPr>
      <w:r>
        <w:rPr>
          <w:rFonts w:ascii="Aptos" w:cs="Aptos" w:eastAsia="Aptos" w:hAnsi="Aptos"/>
          <w:b/>
          <w:bCs/>
          <w:i w:val="false"/>
          <w:iCs w:val="false"/>
          <w:caps w:val="false"/>
          <w:color w:val="1A1A1A"/>
          <w:sz w:val="20"/>
          <w:szCs w:val="20"/>
        </w:rPr>
        <w:t xml:space="preserve">2.  </w:t>
      </w:r>
      <w:r>
        <w:rPr>
          <w:rFonts w:ascii="Aptos" w:cs="Aptos" w:eastAsia="Aptos" w:hAnsi="Aptos"/>
          <w:b w:val="false"/>
          <w:bCs w:val="false"/>
          <w:i w:val="false"/>
          <w:iCs w:val="false"/>
          <w:caps w:val="false"/>
          <w:color w:val="1A1A1A"/>
          <w:sz w:val="20"/>
          <w:szCs w:val="20"/>
        </w:rPr>
        <w:t xml:space="preserve">A return with a deliberate arithmetic error is held, appears in the query register, and does not change any published figure.</w:t>
      </w:r>
    </w:p>
    <w:p>
      <w:pPr>
        <w:spacing w:after="40" w:before="40"/>
      </w:pPr>
      <w:r>
        <w:rPr>
          <w:rFonts w:ascii="Aptos" w:cs="Aptos" w:eastAsia="Aptos" w:hAnsi="Aptos"/>
          <w:b/>
          <w:bCs/>
          <w:i w:val="false"/>
          <w:iCs w:val="false"/>
          <w:caps w:val="false"/>
          <w:color w:val="1A1A1A"/>
          <w:sz w:val="20"/>
          <w:szCs w:val="20"/>
        </w:rPr>
        <w:t xml:space="preserve">3.  </w:t>
      </w:r>
      <w:r>
        <w:rPr>
          <w:rFonts w:ascii="Aptos" w:cs="Aptos" w:eastAsia="Aptos" w:hAnsi="Aptos"/>
          <w:b w:val="false"/>
          <w:bCs w:val="false"/>
          <w:i w:val="false"/>
          <w:iCs w:val="false"/>
          <w:caps w:val="false"/>
          <w:color w:val="1A1A1A"/>
          <w:sz w:val="20"/>
          <w:szCs w:val="20"/>
        </w:rPr>
        <w:t xml:space="preserve">Every one of the sixteen indicators displays its numerator, denominator, definition and as-of date.</w:t>
      </w:r>
    </w:p>
    <w:p>
      <w:pPr>
        <w:spacing w:after="40" w:before="40"/>
      </w:pPr>
      <w:r>
        <w:rPr>
          <w:rFonts w:ascii="Aptos" w:cs="Aptos" w:eastAsia="Aptos" w:hAnsi="Aptos"/>
          <w:b/>
          <w:bCs/>
          <w:i w:val="false"/>
          <w:iCs w:val="false"/>
          <w:caps w:val="false"/>
          <w:color w:val="1A1A1A"/>
          <w:sz w:val="20"/>
          <w:szCs w:val="20"/>
        </w:rPr>
        <w:t xml:space="preserve">4.  </w:t>
      </w:r>
      <w:r>
        <w:rPr>
          <w:rFonts w:ascii="Aptos" w:cs="Aptos" w:eastAsia="Aptos" w:hAnsi="Aptos"/>
          <w:b w:val="false"/>
          <w:bCs w:val="false"/>
          <w:i w:val="false"/>
          <w:iCs w:val="false"/>
          <w:caps w:val="false"/>
          <w:color w:val="1A1A1A"/>
          <w:sz w:val="20"/>
          <w:szCs w:val="20"/>
        </w:rPr>
        <w:t xml:space="preserve">A country with 40 per cent reporting completeness is visibly distinguishable from a country at 100 per cent, without interaction.</w:t>
      </w:r>
    </w:p>
    <w:p>
      <w:pPr>
        <w:spacing w:after="40" w:before="40"/>
      </w:pPr>
      <w:r>
        <w:rPr>
          <w:rFonts w:ascii="Aptos" w:cs="Aptos" w:eastAsia="Aptos" w:hAnsi="Aptos"/>
          <w:b/>
          <w:bCs/>
          <w:i w:val="false"/>
          <w:iCs w:val="false"/>
          <w:caps w:val="false"/>
          <w:color w:val="1A1A1A"/>
          <w:sz w:val="20"/>
          <w:szCs w:val="20"/>
        </w:rPr>
        <w:t xml:space="preserve">5.  </w:t>
      </w:r>
      <w:r>
        <w:rPr>
          <w:rFonts w:ascii="Aptos" w:cs="Aptos" w:eastAsia="Aptos" w:hAnsi="Aptos"/>
          <w:b w:val="false"/>
          <w:bCs w:val="false"/>
          <w:i w:val="false"/>
          <w:iCs w:val="false"/>
          <w:caps w:val="false"/>
          <w:color w:val="1A1A1A"/>
          <w:sz w:val="20"/>
          <w:szCs w:val="20"/>
        </w:rPr>
        <w:t xml:space="preserve">An NR value is drawn as a gap in a trend line, and the same value is not counted as zero in any aggregate.</w:t>
      </w:r>
    </w:p>
    <w:p>
      <w:pPr>
        <w:spacing w:after="40" w:before="40"/>
      </w:pPr>
      <w:r>
        <w:rPr>
          <w:rFonts w:ascii="Aptos" w:cs="Aptos" w:eastAsia="Aptos" w:hAnsi="Aptos"/>
          <w:b/>
          <w:bCs/>
          <w:i w:val="false"/>
          <w:iCs w:val="false"/>
          <w:caps w:val="false"/>
          <w:color w:val="1A1A1A"/>
          <w:sz w:val="20"/>
          <w:szCs w:val="20"/>
        </w:rPr>
        <w:t xml:space="preserve">6.  </w:t>
      </w:r>
      <w:r>
        <w:rPr>
          <w:rFonts w:ascii="Aptos" w:cs="Aptos" w:eastAsia="Aptos" w:hAnsi="Aptos"/>
          <w:b w:val="false"/>
          <w:bCs w:val="false"/>
          <w:i w:val="false"/>
          <w:iCs w:val="false"/>
          <w:caps w:val="false"/>
          <w:color w:val="1A1A1A"/>
          <w:sz w:val="20"/>
          <w:szCs w:val="20"/>
        </w:rPr>
        <w:t xml:space="preserve">No view accessible outside the Regional Office exposes a cell with fewer than five patients.</w:t>
      </w:r>
    </w:p>
    <w:p>
      <w:pPr>
        <w:spacing w:after="40" w:before="40"/>
      </w:pPr>
      <w:r>
        <w:rPr>
          <w:rFonts w:ascii="Aptos" w:cs="Aptos" w:eastAsia="Aptos" w:hAnsi="Aptos"/>
          <w:b/>
          <w:bCs/>
          <w:i w:val="false"/>
          <w:iCs w:val="false"/>
          <w:caps w:val="false"/>
          <w:color w:val="1A1A1A"/>
          <w:sz w:val="20"/>
          <w:szCs w:val="20"/>
        </w:rPr>
        <w:t xml:space="preserve">7.  </w:t>
      </w:r>
      <w:r>
        <w:rPr>
          <w:rFonts w:ascii="Aptos" w:cs="Aptos" w:eastAsia="Aptos" w:hAnsi="Aptos"/>
          <w:b w:val="false"/>
          <w:bCs w:val="false"/>
          <w:i w:val="false"/>
          <w:iCs w:val="false"/>
          <w:caps w:val="false"/>
          <w:color w:val="1A1A1A"/>
          <w:sz w:val="20"/>
          <w:szCs w:val="20"/>
        </w:rPr>
        <w:t xml:space="preserve">The Phase 1 to Phase 2 series break is marked on every trend that crosses it.</w:t>
      </w:r>
    </w:p>
    <w:p>
      <w:pPr>
        <w:spacing w:after="40" w:before="40"/>
      </w:pPr>
      <w:r>
        <w:rPr>
          <w:rFonts w:ascii="Aptos" w:cs="Aptos" w:eastAsia="Aptos" w:hAnsi="Aptos"/>
          <w:b/>
          <w:bCs/>
          <w:i w:val="false"/>
          <w:iCs w:val="false"/>
          <w:caps w:val="false"/>
          <w:color w:val="1A1A1A"/>
          <w:sz w:val="20"/>
          <w:szCs w:val="20"/>
        </w:rPr>
        <w:t xml:space="preserve">8.  </w:t>
      </w:r>
      <w:r>
        <w:rPr>
          <w:rFonts w:ascii="Aptos" w:cs="Aptos" w:eastAsia="Aptos" w:hAnsi="Aptos"/>
          <w:b w:val="false"/>
          <w:bCs w:val="false"/>
          <w:i w:val="false"/>
          <w:iCs w:val="false"/>
          <w:caps w:val="false"/>
          <w:color w:val="1A1A1A"/>
          <w:sz w:val="20"/>
          <w:szCs w:val="20"/>
        </w:rPr>
        <w:t xml:space="preserve">Each screen loads in under three seconds on a throttled connection and exports to PDF.</w:t>
      </w:r>
    </w:p>
    <w:p>
      <w:pPr>
        <w:spacing w:after="40" w:before="40"/>
      </w:pPr>
      <w:r>
        <w:rPr>
          <w:rFonts w:ascii="Aptos" w:cs="Aptos" w:eastAsia="Aptos" w:hAnsi="Aptos"/>
          <w:b/>
          <w:bCs/>
          <w:i w:val="false"/>
          <w:iCs w:val="false"/>
          <w:caps w:val="false"/>
          <w:color w:val="1A1A1A"/>
          <w:sz w:val="20"/>
          <w:szCs w:val="20"/>
        </w:rPr>
        <w:t xml:space="preserve">9.  </w:t>
      </w:r>
      <w:r>
        <w:rPr>
          <w:rFonts w:ascii="Aptos" w:cs="Aptos" w:eastAsia="Aptos" w:hAnsi="Aptos"/>
          <w:b w:val="false"/>
          <w:bCs w:val="false"/>
          <w:i w:val="false"/>
          <w:iCs w:val="false"/>
          <w:caps w:val="false"/>
          <w:color w:val="1A1A1A"/>
          <w:sz w:val="20"/>
          <w:szCs w:val="20"/>
        </w:rPr>
        <w:t xml:space="preserve">Rebuilding from the raw returns reproduces a previously published figure exactly.</w:t>
      </w:r>
    </w:p>
    <w:p>
      <w:pPr>
        <w:spacing w:after="130" w:before="320"/>
      </w:pPr>
      <w:r>
        <w:rPr>
          <w:rFonts w:ascii="Aptos" w:cs="Aptos" w:eastAsia="Aptos" w:hAnsi="Aptos"/>
          <w:b/>
          <w:bCs/>
          <w:i w:val="false"/>
          <w:iCs w:val="false"/>
          <w:caps/>
          <w:color w:val="1A1A1A"/>
          <w:spacing w:val="14"/>
          <w:sz w:val="24"/>
          <w:szCs w:val="24"/>
        </w:rPr>
        <w:t xml:space="preserve">10.  Out of scope for version 1</w:t>
      </w:r>
    </w:p>
    <w:p>
      <w:pPr>
        <w:spacing w:after="40" w:before="40"/>
      </w:pPr>
      <w:r>
        <w:rPr>
          <w:rFonts w:ascii="Aptos" w:cs="Aptos" w:eastAsia="Aptos" w:hAnsi="Aptos"/>
          <w:b w:val="false"/>
          <w:bCs w:val="false"/>
          <w:i w:val="false"/>
          <w:iCs w:val="false"/>
          <w:caps w:val="false"/>
          <w:color w:val="1A1A1A"/>
          <w:sz w:val="20"/>
          <w:szCs w:val="20"/>
        </w:rPr>
        <w:t xml:space="preserve">–   </w:t>
      </w:r>
      <w:r>
        <w:rPr>
          <w:rFonts w:ascii="Aptos" w:cs="Aptos" w:eastAsia="Aptos" w:hAnsi="Aptos"/>
          <w:b w:val="false"/>
          <w:bCs w:val="false"/>
          <w:i w:val="false"/>
          <w:iCs w:val="false"/>
          <w:caps w:val="false"/>
          <w:color w:val="1A1A1A"/>
          <w:sz w:val="20"/>
          <w:szCs w:val="20"/>
        </w:rPr>
        <w:t xml:space="preserve">Patient-level analysis of any kind, including survival curves and determinants of attrition. That requires the facility data layer and a separate governance decision.</w:t>
      </w:r>
    </w:p>
    <w:p>
      <w:pPr>
        <w:spacing w:after="40" w:before="40"/>
      </w:pPr>
      <w:r>
        <w:rPr>
          <w:rFonts w:ascii="Aptos" w:cs="Aptos" w:eastAsia="Aptos" w:hAnsi="Aptos"/>
          <w:b w:val="false"/>
          <w:bCs w:val="false"/>
          <w:i w:val="false"/>
          <w:iCs w:val="false"/>
          <w:caps w:val="false"/>
          <w:color w:val="1A1A1A"/>
          <w:sz w:val="20"/>
          <w:szCs w:val="20"/>
        </w:rPr>
        <w:t xml:space="preserve">–   </w:t>
      </w:r>
      <w:r>
        <w:rPr>
          <w:rFonts w:ascii="Aptos" w:cs="Aptos" w:eastAsia="Aptos" w:hAnsi="Aptos"/>
          <w:b w:val="false"/>
          <w:bCs w:val="false"/>
          <w:i w:val="false"/>
          <w:iCs w:val="false"/>
          <w:caps w:val="false"/>
          <w:color w:val="1A1A1A"/>
          <w:sz w:val="20"/>
          <w:szCs w:val="20"/>
        </w:rPr>
        <w:t xml:space="preserve">Live or near-real-time refresh. The data is quarterly.</w:t>
      </w:r>
    </w:p>
    <w:p>
      <w:pPr>
        <w:spacing w:after="40" w:before="40"/>
      </w:pPr>
      <w:r>
        <w:rPr>
          <w:rFonts w:ascii="Aptos" w:cs="Aptos" w:eastAsia="Aptos" w:hAnsi="Aptos"/>
          <w:b w:val="false"/>
          <w:bCs w:val="false"/>
          <w:i w:val="false"/>
          <w:iCs w:val="false"/>
          <w:caps w:val="false"/>
          <w:color w:val="1A1A1A"/>
          <w:sz w:val="20"/>
          <w:szCs w:val="20"/>
        </w:rPr>
        <w:t xml:space="preserve">–   </w:t>
      </w:r>
      <w:r>
        <w:rPr>
          <w:rFonts w:ascii="Aptos" w:cs="Aptos" w:eastAsia="Aptos" w:hAnsi="Aptos"/>
          <w:b w:val="false"/>
          <w:bCs w:val="false"/>
          <w:i w:val="false"/>
          <w:iCs w:val="false"/>
          <w:caps w:val="false"/>
          <w:color w:val="1A1A1A"/>
          <w:sz w:val="20"/>
          <w:szCs w:val="20"/>
        </w:rPr>
        <w:t xml:space="preserve">Forecasting and projection. Worth doing, but only once four consecutive comparable rounds exist.</w:t>
      </w:r>
    </w:p>
    <w:p>
      <w:pPr>
        <w:spacing w:after="40" w:before="40"/>
      </w:pPr>
      <w:r>
        <w:rPr>
          <w:rFonts w:ascii="Aptos" w:cs="Aptos" w:eastAsia="Aptos" w:hAnsi="Aptos"/>
          <w:b w:val="false"/>
          <w:bCs w:val="false"/>
          <w:i w:val="false"/>
          <w:iCs w:val="false"/>
          <w:caps w:val="false"/>
          <w:color w:val="1A1A1A"/>
          <w:sz w:val="20"/>
          <w:szCs w:val="20"/>
        </w:rPr>
        <w:t xml:space="preserve">–   </w:t>
      </w:r>
      <w:r>
        <w:rPr>
          <w:rFonts w:ascii="Aptos" w:cs="Aptos" w:eastAsia="Aptos" w:hAnsi="Aptos"/>
          <w:b w:val="false"/>
          <w:bCs w:val="false"/>
          <w:i w:val="false"/>
          <w:iCs w:val="false"/>
          <w:caps w:val="false"/>
          <w:color w:val="1A1A1A"/>
          <w:sz w:val="20"/>
          <w:szCs w:val="20"/>
        </w:rPr>
        <w:t xml:space="preserve">A national-level dashboard. Countries use their own platform; duplicating it creates a competing source of truth.</w:t>
      </w:r>
    </w:p>
    <w:p>
      <w:pPr>
        <w:spacing w:after="40" w:before="40"/>
      </w:pPr>
      <w:r>
        <w:rPr>
          <w:rFonts w:ascii="Aptos" w:cs="Aptos" w:eastAsia="Aptos" w:hAnsi="Aptos"/>
          <w:b w:val="false"/>
          <w:bCs w:val="false"/>
          <w:i w:val="false"/>
          <w:iCs w:val="false"/>
          <w:caps w:val="false"/>
          <w:color w:val="1A1A1A"/>
          <w:sz w:val="20"/>
          <w:szCs w:val="20"/>
        </w:rPr>
        <w:t xml:space="preserve">–   </w:t>
      </w:r>
      <w:r>
        <w:rPr>
          <w:rFonts w:ascii="Aptos" w:cs="Aptos" w:eastAsia="Aptos" w:hAnsi="Aptos"/>
          <w:b w:val="false"/>
          <w:bCs w:val="false"/>
          <w:i w:val="false"/>
          <w:iCs w:val="false"/>
          <w:caps w:val="false"/>
          <w:color w:val="1A1A1A"/>
          <w:sz w:val="20"/>
          <w:szCs w:val="20"/>
        </w:rPr>
        <w:t xml:space="preserve">Financial figures. Removed from the reporting form and therefore absent here.</w:t>
      </w:r>
    </w:p>
    <w:sectPr>
      <w:headerReference w:type="default" r:id="rId7"/>
      <w:headerReference w:type="first" r:id="rId8"/>
      <w:footerReference w:type="default" r:id="rId9"/>
      <w:footerReference w:type="first" r:id="rId10"/>
      <w:pgSz w:w="11906" w:h="16838" w:orient="portrait"/>
      <w:pgMar w:top="900" w:right="900" w:bottom="900" w:left="900" w:header="450" w:footer="45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5A6069"/>
        <w:sz w:val="15"/>
        <w:szCs w:val="15"/>
      </w:rPr>
      <w:t xml:space="preserve">Page </w:t>
    </w:r>
    <w:r>
      <w:rPr>
        <w:rFonts w:ascii="Aptos" w:cs="Aptos" w:eastAsia="Aptos" w:hAnsi="Aptos"/>
        <w:color w:val="5A6069"/>
        <w:sz w:val="15"/>
        <w:szCs w:val="15"/>
      </w:rPr>
      <w:fldChar w:fldCharType="begin"/>
      <w:instrText xml:space="preserve">PAGE</w:instrText>
      <w:fldChar w:fldCharType="separate"/>
      <w:fldChar w:fldCharType="end"/>
    </w:r>
    <w:r>
      <w:rPr>
        <w:rFonts w:ascii="Aptos" w:cs="Aptos" w:eastAsia="Aptos" w:hAnsi="Aptos"/>
        <w:color w:val="5A6069"/>
        <w:sz w:val="15"/>
        <w:szCs w:val="15"/>
      </w:rPr>
      <w:t xml:space="preserve"> of </w:t>
    </w:r>
    <w:r>
      <w:rPr>
        <w:rFonts w:ascii="Aptos" w:cs="Aptos" w:eastAsia="Aptos" w:hAnsi="Aptos"/>
        <w:color w:val="5A6069"/>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ptos" w:cs="Aptos" w:eastAsia="Aptos" w:hAnsi="Aptos"/>
        <w:b w:val="false"/>
        <w:bCs w:val="false"/>
        <w:i w:val="false"/>
        <w:iCs w:val="false"/>
        <w:caps w:val="false"/>
        <w:color w:val="1A1A1A"/>
        <w:sz w:val="20"/>
        <w:szCs w:val="20"/>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106"/>
      </w:tabs>
      <w:spacing w:after="60"/>
    </w:pPr>
    <w:r>
      <w:rPr>
        <w:rFonts w:ascii="Aptos" w:cs="Aptos" w:eastAsia="Aptos" w:hAnsi="Aptos"/>
        <w:b w:val="false"/>
        <w:bCs w:val="false"/>
        <w:i w:val="false"/>
        <w:iCs w:val="false"/>
        <w:caps w:val="false"/>
        <w:color w:val="5A6069"/>
        <w:sz w:val="15"/>
        <w:szCs w:val="15"/>
      </w:rPr>
      <w:t xml:space="preserve">PEN-Plus regional dashboard, technical specification</w:t>
    </w:r>
    <w:r>
      <w:rPr>
        <w:rFonts w:ascii="Aptos" w:cs="Aptos" w:eastAsia="Aptos" w:hAnsi="Aptos"/>
        <w:sz w:val="15"/>
        <w:szCs w:val="15"/>
      </w:rPr>
      <w:t xml:space="preserve">	</w:t>
    </w:r>
    <w:r>
      <w:rPr>
        <w:rFonts w:ascii="Aptos" w:cs="Aptos" w:eastAsia="Aptos" w:hAnsi="Aptos"/>
        <w:b w:val="false"/>
        <w:bCs w:val="false"/>
        <w:i w:val="false"/>
        <w:iCs w:val="false"/>
        <w:caps w:val="false"/>
        <w:color w:val="5A6069"/>
        <w:sz w:val="15"/>
        <w:szCs w:val="15"/>
      </w:rPr>
      <w:t xml:space="preserve">WHO Regional Office for Africa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ptos" w:cs="Aptos" w:eastAsia="Aptos" w:hAnsi="Aptos"/>
        <w:b w:val="false"/>
        <w:bCs w:val="false"/>
        <w:i w:val="false"/>
        <w:iCs w:val="false"/>
        <w:caps w:val="false"/>
        <w:color w:val="1A1A1A"/>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fa91943498319b8f7fea65c5e48a81e2148780c.png"/><Relationship Id="rId12" Type="http://schemas.openxmlformats.org/officeDocument/2006/relationships/image" Target="media/c2ea7c2cadbaa8edf956e49d3f8e284a3d581b2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PEN-Plus regional dashboard, technical specification</dc:title>
  <dc:creator>WHO Regional Office for Africa</dc:creator>
  <cp:lastModifiedBy>Un-named</cp:lastModifiedBy>
  <cp:revision>1</cp:revision>
  <dcterms:created xsi:type="dcterms:W3CDTF">2026-09-20T14:26:09.304Z</dcterms:created>
  <dcterms:modified xsi:type="dcterms:W3CDTF">2026-09-20T14:26:09.312Z</dcterms:modified>
</cp:coreProperties>
</file>

<file path=docProps/custom.xml><?xml version="1.0" encoding="utf-8"?>
<Properties xmlns="http://schemas.openxmlformats.org/officeDocument/2006/custom-properties" xmlns:vt="http://schemas.openxmlformats.org/officeDocument/2006/docPropsVTypes"/>
</file>