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THEMART INTERNATIONAL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B-86884046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