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/>
          <w:b/>
          <w:i w:val="0"/>
          <w:color w:val="759192"/>
          <w:sz w:val="18"/>
        </w:rPr>
        <w:t>PROTOKOL CHYB K OPRAVĚ</w:t>
      </w:r>
    </w:p>
    <w:p>
      <w:pPr>
        <w:spacing w:after="100"/>
      </w:pPr>
      <w:r>
        <w:rPr>
          <w:rFonts w:ascii="Arial" w:hAnsi="Arial"/>
          <w:b/>
          <w:i w:val="0"/>
          <w:color w:val="292527"/>
          <w:sz w:val="46"/>
        </w:rPr>
        <w:t>PREFA ŠOP — finální vizuální sjednocení</w:t>
      </w:r>
    </w:p>
    <w:p>
      <w:pPr>
        <w:spacing w:after="240"/>
      </w:pPr>
      <w:r>
        <w:rPr>
          <w:rFonts w:ascii="Arial" w:hAnsi="Arial"/>
          <w:b w:val="0"/>
          <w:i w:val="0"/>
          <w:color w:val="5E5C55"/>
          <w:sz w:val="22"/>
        </w:rPr>
        <w:t>Kontrola landing page, prvního kroku a konfigurátoru po zapracování předchozího UX auditu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ED8CF"/>
          <w:left w:val="single" w:sz="4" w:space="0" w:color="DED8CF"/>
          <w:bottom w:val="single" w:sz="4" w:space="0" w:color="DED8CF"/>
          <w:right w:val="single" w:sz="4" w:space="0" w:color="DED8CF"/>
          <w:insideH w:val="single" w:sz="4" w:space="0" w:color="DED8CF"/>
          <w:insideV w:val="single" w:sz="4" w:space="0" w:color="DED8CF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F7F5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>ROZSAH</w:t>
            </w:r>
          </w:p>
        </w:tc>
        <w:tc>
          <w:tcPr>
            <w:tcW w:type="dxa" w:w="7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13 screenshotů · desktopové stavy landing page a kroků 1–6</w:t>
            </w:r>
          </w:p>
        </w:tc>
      </w:tr>
      <w:tr>
        <w:tc>
          <w:tcPr>
            <w:tcW w:type="dxa" w:w="1600"/>
            <w:shd w:fill="F7F5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>ÚČEL</w:t>
            </w:r>
          </w:p>
        </w:tc>
        <w:tc>
          <w:tcPr>
            <w:tcW w:type="dxa" w:w="7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Pouze oprava vizuálních odchylek; bez změny výpočtů a funkční logiky.</w:t>
            </w:r>
          </w:p>
        </w:tc>
      </w:tr>
      <w:tr>
        <w:tc>
          <w:tcPr>
            <w:tcW w:type="dxa" w:w="1600"/>
            <w:shd w:fill="F7F5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>MIMO AUDIT</w:t>
            </w:r>
          </w:p>
        </w:tc>
        <w:tc>
          <w:tcPr>
            <w:tcW w:type="dxa" w:w="77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Kruhové značky „N“ jsou součást vývojářského serveru a nepovažují se za chybu.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Jak protokol číst</w:t>
      </w:r>
    </w:p>
    <w:p>
      <w:r>
        <w:rPr>
          <w:rFonts w:ascii="Arial" w:hAnsi="Arial"/>
          <w:b/>
          <w:i w:val="0"/>
          <w:color w:val="292527"/>
          <w:sz w:val="18"/>
        </w:rPr>
        <w:t>P0</w:t>
      </w:r>
      <w:r>
        <w:rPr>
          <w:rFonts w:ascii="Arial" w:hAnsi="Arial"/>
          <w:b w:val="0"/>
          <w:i w:val="0"/>
          <w:color w:val="292527"/>
          <w:sz w:val="18"/>
        </w:rPr>
        <w:t xml:space="preserve">  systémová odchylka, kterou je nutné odstranit před dalším vizuálním schvalováním.  </w:t>
      </w:r>
      <w:r>
        <w:rPr>
          <w:rFonts w:ascii="Arial" w:hAnsi="Arial"/>
          <w:b/>
          <w:i w:val="0"/>
          <w:color w:val="D39A52"/>
          <w:sz w:val="18"/>
        </w:rPr>
        <w:t>P1</w:t>
      </w:r>
      <w:r>
        <w:rPr>
          <w:rFonts w:ascii="Arial" w:hAnsi="Arial"/>
          <w:b w:val="0"/>
          <w:i w:val="0"/>
          <w:color w:val="292527"/>
          <w:sz w:val="18"/>
        </w:rPr>
        <w:t xml:space="preserve">  komponentová odchylka; opravit ve stejné implementační vlně.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8" w:space="0" w:color="759192"/>
          <w:left w:val="single" w:sz="8" w:space="0" w:color="759192"/>
          <w:bottom w:val="single" w:sz="8" w:space="0" w:color="759192"/>
          <w:right w:val="single" w:sz="8" w:space="0" w:color="75919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DF2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8"/>
              </w:rPr>
              <w:t xml:space="preserve">Způsob opravy: </w:t>
            </w:r>
            <w:r>
              <w:rPr>
                <w:rFonts w:ascii="Arial" w:hAnsi="Arial"/>
                <w:b w:val="0"/>
                <w:i w:val="0"/>
                <w:color w:val="292527"/>
                <w:sz w:val="18"/>
              </w:rPr>
              <w:t>Každou položku řešit v kořenové sdílené komponentě nebo tokenu. Neopravovat jednotlivý screenshot lokálním CSS přepisem.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Index kontrolovaných obrazovek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20"/>
        <w:gridCol w:w="1400"/>
        <w:gridCol w:w="7140"/>
      </w:tblGrid>
      <w:tr>
        <w:trPr>
          <w:tblHeader w:val="true"/>
        </w:trPr>
        <w:tc>
          <w:tcPr>
            <w:tcW w:type="dxa" w:w="820"/>
            <w:shd w:fill="2925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400"/>
            <w:shd w:fill="2925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Čas</w:t>
            </w:r>
          </w:p>
        </w:tc>
        <w:tc>
          <w:tcPr>
            <w:tcW w:type="dxa" w:w="7140"/>
            <w:shd w:fill="29252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Stav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S01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15_04_40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Landing page</w:t>
            </w:r>
          </w:p>
        </w:tc>
      </w:tr>
      <w:tr>
        <w:tc>
          <w:tcPr>
            <w:tcW w:type="dxa" w:w="82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S02</w:t>
            </w:r>
          </w:p>
        </w:tc>
        <w:tc>
          <w:tcPr>
            <w:tcW w:type="dxa" w:w="140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15_05_46</w:t>
            </w:r>
          </w:p>
        </w:tc>
        <w:tc>
          <w:tcPr>
            <w:tcW w:type="dxa" w:w="714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Krok 1 — cíl, kalendář, místo a podlaží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S03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15_06_03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Vnější stěny — prázdné nahrání</w:t>
            </w:r>
          </w:p>
        </w:tc>
      </w:tr>
      <w:tr>
        <w:tc>
          <w:tcPr>
            <w:tcW w:type="dxa" w:w="82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S04</w:t>
            </w:r>
          </w:p>
        </w:tc>
        <w:tc>
          <w:tcPr>
            <w:tcW w:type="dxa" w:w="140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15_09_37</w:t>
            </w:r>
          </w:p>
        </w:tc>
        <w:tc>
          <w:tcPr>
            <w:tcW w:type="dxa" w:w="714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Vnější stěny — připravený výkres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S05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15_11_13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Vnější stěny — kalibrace měřítka</w:t>
            </w:r>
          </w:p>
        </w:tc>
      </w:tr>
      <w:tr>
        <w:tc>
          <w:tcPr>
            <w:tcW w:type="dxa" w:w="82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S06</w:t>
            </w:r>
          </w:p>
        </w:tc>
        <w:tc>
          <w:tcPr>
            <w:tcW w:type="dxa" w:w="140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15_12_23</w:t>
            </w:r>
          </w:p>
        </w:tc>
        <w:tc>
          <w:tcPr>
            <w:tcW w:type="dxa" w:w="714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Vnější stěny — kontrola obrysu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S07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15_12_47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Vnější stěny — otevřená podpora</w:t>
            </w:r>
          </w:p>
        </w:tc>
      </w:tr>
      <w:tr>
        <w:tc>
          <w:tcPr>
            <w:tcW w:type="dxa" w:w="82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S08</w:t>
            </w:r>
          </w:p>
        </w:tc>
        <w:tc>
          <w:tcPr>
            <w:tcW w:type="dxa" w:w="140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15_17_11</w:t>
            </w:r>
          </w:p>
        </w:tc>
        <w:tc>
          <w:tcPr>
            <w:tcW w:type="dxa" w:w="714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Vnitřní stěny — kontrola + podpora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S09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15_18_47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Strop — výběr konstrukce + podpora</w:t>
            </w:r>
          </w:p>
        </w:tc>
      </w:tr>
      <w:tr>
        <w:tc>
          <w:tcPr>
            <w:tcW w:type="dxa" w:w="82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S10</w:t>
            </w:r>
          </w:p>
        </w:tc>
        <w:tc>
          <w:tcPr>
            <w:tcW w:type="dxa" w:w="140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15_20_42</w:t>
            </w:r>
          </w:p>
        </w:tc>
        <w:tc>
          <w:tcPr>
            <w:tcW w:type="dxa" w:w="714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Střecha — prázdné nahrání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S11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15_21_54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Střecha — připravený výkres</w:t>
            </w:r>
          </w:p>
        </w:tc>
      </w:tr>
      <w:tr>
        <w:tc>
          <w:tcPr>
            <w:tcW w:type="dxa" w:w="82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S12</w:t>
            </w:r>
          </w:p>
        </w:tc>
        <w:tc>
          <w:tcPr>
            <w:tcW w:type="dxa" w:w="140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15_23_40</w:t>
            </w:r>
          </w:p>
        </w:tc>
        <w:tc>
          <w:tcPr>
            <w:tcW w:type="dxa" w:w="7140"/>
            <w:shd w:fill="F7F5F1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Střecha — kontrola ploch</w:t>
            </w:r>
          </w:p>
        </w:tc>
      </w:tr>
      <w:tr>
        <w:tc>
          <w:tcPr>
            <w:tcW w:type="dxa" w:w="82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S13</w:t>
            </w:r>
          </w:p>
        </w:tc>
        <w:tc>
          <w:tcPr>
            <w:tcW w:type="dxa" w:w="140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15_24_26</w:t>
            </w:r>
          </w:p>
        </w:tc>
        <w:tc>
          <w:tcPr>
            <w:tcW w:type="dxa" w:w="714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Rozpočet a předobjednávka</w:t>
            </w:r>
          </w:p>
        </w:tc>
      </w:tr>
    </w:tbl>
    <w:p>
      <w:r>
        <w:br w:type="page"/>
      </w: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P0 · SYSTÉMOVÉ CHYBY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Globální sjednocení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VIS-001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S01–S13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Stejná textová role má mezi komponentami rozdílný font, řez, velikost i prostrkání; nejvíce v řadách tlačítek, pravém panelu a souhrnu.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Vynutit jedinou typografickou mapu: Gotham pouze nadpisy/ceny, Flama veškeré UI a text, Justus pouze poznámky. Odstranit lokální font-family/font-size/letter-spacing z komponent.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Computed styles stejné role jsou shodné na všech 13 stavech; žádný fallback mimo trojici toolkit fontů.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VIS-002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S02–S13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Tlačítka v jedné řadě nemají shodnou výšku, velikost popisku, vnitřní odsazení ani polohu ikony.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tokeny: Primary 56 px; Secondary/Mode/Stepper 44 px; Icon-only 44×44 px. Popisek všude Flama 600, 14/18 px, letter-spacing 0; ikona 18 px; mezera ikona–text 8 px.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Každá homogenní řada je na pixel stejné výšky; baseline textů i ikon sedí; žádný popisek není opticky větší či menší.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VIS-003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S02–S13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Mísí se schválené technické ikony s generickými upload/lock/trash/check/hand/home/rotate ikonami, nativními prvky a různými šipkami.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Všechny ikony načítat výhradně z jednoho schváleného PREFA SVG registru. UI ikona 18 px, obsahová 24 px, stejný stroke a zakončení; zákaz emoji, Unicode symbolů, icon-fontů a nativních glyphů.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Automatický scan nenajde jiné SVG zdroje; vizuální kontrola potvrzuje jednotný stroke ve všech komponentech.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VIS-004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 pracovních plochách zůstává starý modrošedý systém: dashed rámečky, modré texty, nativní checkbox, červené malé tlačítko a zelený success symbol.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Přemapovat na paletu Paper/White/Linen/Line/Ink/Aqua/Amber. Červenou použít pouze pro skutečnou chybu; reverzibilní varování Amber. Success = Aqua; checkbox = vlastní PREFA komponenta.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 obrazovkách není legacy modrá ani nativní checkbox; všechny stavy používají pouze definované tokeny.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VIS-005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Stavy completed/current/available/locked/attention nejsou stejné v levém menu a horním stepperu; u Stropu se objevuje nepojmenovaný oranžový čtverec.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Implementovat jednu stavovou mapu: completed Aqua+check, current Ink, available White+Aqua outline, locked Linen+Stone+lock, attention Amber+jasný textový důvod. Bez prázdných barevných čtverců.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Stejný stav má vždy stejný symbol, barvu a typografii; pozornost je vždy vysvětlena textem nebo tooltipem.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VIS-006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S01–S13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Řada sekundárních textů je pod bezpečnou čitelností a disabled prvky téměř mizí; problém je výrazný v kalendáři, tabulkách, katalogu a S13.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Dodržet minima: UI/technická data 13–14/18 px, body 16/23 px, poznámka 14/21 px. Disabled opacity nesmí snížit text pod čitelný kontrast; neměnit velikost oproti enabled.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Žádný informativní text pod 13 px; všechny enabled/disabled popisky jsou čitelné při 100% zoomu.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VIS-007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Sdílené šablony stejného kroku se vizuálně rozcházejí podle fáze (upload, preview, kalibrace, obkreslení, kontrola).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Sjednotit do jedné sady komponent UploadCard, StageStepper, SupportBanner, ActionToolbar, Canvas, MeasureList, CatalogCard a StickyFooter bez page-specific variant rozměrů.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Stejná komponenta má shodné DOM pořadí, tokeny a rozměry v kroku stěn, stropu i střechy.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VIS-008</w:t>
            </w:r>
          </w:p>
        </w:tc>
        <w:tc>
          <w:tcPr>
            <w:tcW w:type="dxa" w:w="430"/>
            <w:shd w:fill="29252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Sticky footer mění poměry textů a tlačítek, některé stránky nemají dostatečný spodní offset a obsah působí zakrytě.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Jedna sdílená patička: výška 88 px, cena kroku vlevo, stav uprostřed, celková cena + Back + jediná Primary CTA vpravo. Přidat content padding-bottom ≥ výška patičky + 24 px.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Footer je identický ve všech krocích, obsah za ním nekončí a CTA má vždy 56 px a stejný textový styl.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NAVIGACE A POSTUP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Shell, levé menu a horní stepper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VIS-009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S01–S13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Logo má mezi landing page, krokem 1 a konfigurátorem odlišnou optickou velikost a odsazení.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jediný SVG asset a jedinou HeaderLogo komponentu; měnit pouze layoutový kontext, nikoli vnitřní rozměry, řez nebo rasterizaci.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Logo je ostré a opticky stejně vysoké na všech stránkách; ochranná zóna je shodná.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VIS-010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Číslo/check/lock v levém menu mají rozdílný rozměr, stroke i zarovnání; víceřádkové položky mění rytmus seznamu.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Řádek 52 px min., stavový box 32×32 px, text Flama 600 14/18, mezera 12 px. Víceřádkový popisek vertikálně centrovat; stavová ikona vždy z PREFA registru.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Všechny řádky drží stejnou osu; boxy tvoří jednu svislou linii a dlouhý název nerozbíjí mezery.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VIS-011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„Smazat konfiguraci“ je příliš světlé, používá cizí koš a nemá jednoznačný stav destructive action.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standardní tertiary/destructive text button 44 px s ikonou z registru; default Ink/Cedar, hover/error potvrzení dle stejné komponenty. Nesmí působit jako disabled.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Ovladač je čitelný a od locked položek se liší významem i interakcí.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VIS-012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S03–S12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Horní StageStepper používá různé kruhy, checky a zvláštní zápis „4“ v uvozovkách; disabled položky mění velikost textu.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Čtyři segmenty 44 px se stejnou šířkou/paddingem; čísla 1–4 bez uvozovek, completed = schválený check, current = Ink, upcoming = čitelný Stone. Text vždy 14/18 px.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Nahrát/Měřítko/Obkreslit/Zkontrolovat mají identickou geometrii ve všech stavech a žádný symbol „4“ v uvozovkách.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TECHNICKÁ PODPORA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Tereza — banner, launcher a drawer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VIS-013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Tlačítka „Poradit se“ a „Skrýt“ v tmavém banneru mají nízký kontrast, jiné písmo a vypadají jako disabled.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jednotnou inverse Secondary komponentu 44 px; aktivní text a border v White/Aqua dle schváleného stavu. „Skrýt“ může být tertiary inverse, ale se stejnou výškou a typografií.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Obě akce jsou na první pohled aktivní, čitelné a baseline sedí s textem banneru.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VIS-014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S07–S09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Otevřený drawer překrývá stepper a pravý katalog nekontrolovaně; pod drawerem zůstává viditelný kus cenové karty a chybí zřetelný Close.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Drawer 420 px, od headeru po horní hranu footeru, vlastní z-index; buď zcela nahradí pravý panel, nebo použije scrim — ne kombinaci. Přidat 44×44 Close z UI setu.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Při otevření není vidět fragment katalogu, žádný ovladač není napůl zakrytý a drawer lze zavřít myší i klávesnicí.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VIS-015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S07–S09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Drawer míchá velikosti FAQ, kontaktu a metadat; kontaktní karta má jinou typografii i rámeček než ostatní PREFA karty.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Nadpis 20/25 Gotham; mezititulek 12/15 uppercase Flama; body 14–16/21–23 Flama; kontaktní karta White/Paper + Line, radius 0–2 px. Telefon/e-mail stejné UI role.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 draweru nejsou jednorázové font-size a všechny bloky odpovídají shodným textovým rolím.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VIS-016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S01 vs. S03–S12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Landing launcher, banner a drawer používají odlišné portrétní rámečky, ikony podpory a barvy okrajů.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Sdílet SupportAvatar a SupportAction ikony. Fotografie stejný kruhový crop, stejný Aqua/Line ring; text vždy „Tereza · technická podpora“.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Avatar, označení a ikona podpory jsou shodné na landing page i v konfigurátoru.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UPLOAD A PRACOVNÍ NÁSTROJE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UploadCard, toolbar a kalibrace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VIS-017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S03, S10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Prázdný dropzone používá legacy modrou dashed linku a generickou upload ikonu; textové úrovně jsou příliš drobné.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Border 1 px Line (dashed jen pokud je součástí schválené komponenty), approved upload ikona 24 px, nadpis 16/22 Flama 600, pomocný text min. 14/20. Hover/focus Aqua.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Upload stěn a střechy je pixelově stejná komponenta a používá tutéž ikonu i typografii.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VIS-018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S04, S11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Preview stav má směs pillu, textových linků, generické rotate ikony a CTA s jinou výškou/písmem než ostatní primary actions.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Success badge, Rotate, Replace a Insert mapovat na badge/text-button/Primary z knihovny; jednotné ikony 18 px. Primary „Vložit…“ 56 px, Flama 600 14/18.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Obě preview karty mají stejné rozměry, akce a typografii; žádný jednorázový symbol nebo výška.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VIS-019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S05–S06, S08, 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ActionToolbar míchá velké a malé popisky, různé ikony a nested prvky; aktivní nástroj nemá stejnou výšku jako okolní tlačítka.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Každá samostatná akce = 44 px control. Skupiny oddělit 8 px, ne vnořenými mini-tlačítky bez mřížky. Active Mode = Ink; Secondary = White/Line; popisek 14/18.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Všechny ovladače toolbaru mají společnou osu, stejné paddingy a ikony z UI setu.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VIS-020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S05–S06, S08, S12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„Měřítko aktivní / Upravit / Zrušit měřítko“ kombinuje tři rozdílné velikosti a červenou mimo paletu.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Vytvořit jeden ScaleStatus compound control: status + dvě 40/44 px akce; success Aqua, edit neutral, cancel Amber outline. Červená pouze při validaci chyby.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Compound control je stejný ve stěnách i střeše; žádná část není menší než 40 px.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VIS-021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Kalibrační panel má plnou sytou oranžovou plochu, velmi malé instrukce a nesourodé input/button/Back.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Pale Amber background + 1 px Amber border, text Ink min. 13/18. Input 44 px; „Potvrdit kalibraci“ Secondary/Primary 44 px; „Zpět“ tertiary 44 px.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Instrukce jsou čitelné bez zoomu; všechny tři ovladače mají shodnou výšku a jasnou hierarchii.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CANVAS A DATA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Pracovní plocha, stavy a měřené položky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VIS-022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S05–S06, S08, 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Zoom používá starý modrý rámeček a jiný styl +/− než zbytek 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společný ZoomControl: dvě IconButton 44×44, hodnota 14/18 Flama 600, White/Line, focus Aqua; bez legacy blue.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Zoom je ve všech canvasech vizuálně i rozměrově identický.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VIS-023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S05–S06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Success, checkbox a warning používají zelený kruh, nativní modrý checkbox a žlutý blok z různých systémů.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Success = approved Aqua status icon; Checkbox = vlastní 20/44 PREFA input; Warning = Pale Amber + Amber border + approved warning icon. Zachovat sémantické focus/error stavy.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 pracovních obrazovkách nejsou nativní checkboxy ani zelené legacy symboly.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VIS-024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S06, S08, 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MeasureList a technické řádky mají příliš malé/monospace působící texty, rozdílné výšky selectů a starou modrošedou výplň.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Technická data Flama 13–14/18 s tabular numerals; řádek min. 48 px; select/input 40 px; hlavička Paper/Linen, border Line. Kód může být 600, nikoli jiný font.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Všechny řádky jsou čitelné při 100 %, hodnoty se nelepí k okrajům a selecty mají shodnou výšku.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VIS-025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S05–S12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Sekce pod canvasem (odpočet otvorů, plocha, upozornění) používají jinou typografii, spacing a barvy než okolní karty.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Převést na standard SectionCard: heading 16/22, supporting 14/20, 24 px padding, 1 px Line, vertikální rytmus 8/16/24. Badge s plochou = jednotný InfoBadge.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Všechny podsekce drží stejnou šířku, padding, border a textové role.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VIS-026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S05–S12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Tenké texty na technickém podkladu a v placeholderu poznámky jsou místy téměř nečitelné.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Sekundární text minimálně Cedar/Stone se schváleným kontrastem; placeholder nesmí být světlejší než Stone. Nepoužívat opacity na rodičích textu.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Text je čitelný na Paper/White i při běžném 100% zoomu; disabled se liší stavem, ne velikostí.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PRAVÝ PANEL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Katalog konstrukcí a průběžný výpočet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VIS-027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Karta konstrukce používá velký obecný motiv „VESPER FRAME“, nikoli finální technickou ikonu konkrétního typu konstrukce.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Nahradit schválenými ikonami: obvodová stěna, vnitřní stěna, strop, střešní plášť. Bez sekundárního VESPER FRAME wordmarku uvnitř karty.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Každý krok ukazuje správnou ikonu z finální galerie; stroke odpovídá ostatním PREFA ikonám.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VIS-028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S03–S12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Varianta 1/2/3 je velmi drobná, má jiné rozměry než ostatní segmented controls a label „Varianta:“ plave mimo osu.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SegmentControl 44 px, minimální šířka segmentu 44 px, text 14/18; label nad ovladačem nebo vlevo v jedné přesné baseline. Active Ink.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Segmenty jsou snadno kliknutelné, stejné ve stěně i střeše a mají jasný focus/selected stav.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VIS-029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S03–S12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PriceSummary používá legacy světle modrošedý panel, dashed empty state a příliš malé položky.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Panel White/Paper + Line; heading 16/22, řádky 13–14/18, celková cena Gotham 28–32/34. Empty state bez dashed blue, s approved info icon a Stone textem.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Prázdný i vypočtený stav mají tutéž geometrii; cena je nejsilnější prvek a všechny položky jsou čitelné.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VIS-030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S07–S09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 otevření podpory není jasné, zda katalog zmizel, nebo je pouze překryt; pod drawerem zůstává torzo ceny.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Support drawer musí nahradit celý pravý sloupec včetně CatalogCard a PriceSummary, případně je kompletně překrýt; po zavření obnovit beze změny scrollu.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 jednom okamžiku je vidět buď katalog, nebo podpora — nikdy jejich fragmenty současně.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LANDING A KROK 1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Vstupní stránky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VIS-031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S01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 landing page mají header navigace, hero CTA, benefit texty a spodní CTA různou velikost/řez pro obdobnou UI roli.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Nav a textové odkazy Flama 14/18; Primary CTA 56 px, Flama 600 14/18; sekundární benefit text 14–16/20–23. Sdílet Button/Link tokeny s konfigurátorem.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Shodná role má stejný computed font a výšku na landing page i v konfigurátoru.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VIS-032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S01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Support launcher vpravo dole má vlastní zlatý rámeček, miniaturní text a odlišný support glyph.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SupportLauncher z téhož systému jako drawer: White/Paper, Line/Aqua focus, text min. 14/18, avatar a support ikona z registru; žádný jednorázový glyph.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Launcher vizuálně navazuje na banner a drawer a splňuje 44 px hit area.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VIS-033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S02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Kalendářní disabled dny a pomocné texty jsou příliš světlé; šipky, floor segmenty a footer CTA nemají shodnou button metriku.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Disabled data ponechat čitelná v Stone; šipky 44×44; floor SegmentControl 44 px; footer Back/Primary dle globálního systému. Všechny labely min. 13–14 px.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Kalendář je čitelný, aktivní datum je jednoznačné a všechny interaktivní prvky splňují 44 px.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VIS-034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S02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Číselné badge 1/2 u základních parametrů, status „K dispozici…“ a zvolený cíl používají rozdílné ikony, padding i výšky.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Badge 24/28 px dle stejného StepBadge; status = standard StatusPill; zvolený cíl = InfoCard s 24 px paddingem a approved cílovou ikonou.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Badge, status a info karta odpovídají stejným komponentám v dalších krocích.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P1 · ZÁVĚREČNÝ ROZPOČET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Krok 6 — souhrn a odeslání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850"/>
        <w:gridCol w:w="430"/>
        <w:gridCol w:w="1300"/>
        <w:gridCol w:w="4270"/>
        <w:gridCol w:w="2510"/>
      </w:tblGrid>
      <w:tr>
        <w:trPr>
          <w:tblHeader w:val="true"/>
        </w:trPr>
        <w:tc>
          <w:tcPr>
            <w:tcW w:type="dxa" w:w="85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3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130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Výskyt</w:t>
            </w:r>
          </w:p>
        </w:tc>
        <w:tc>
          <w:tcPr>
            <w:tcW w:type="dxa" w:w="427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Chyba → požadovaná oprava</w:t>
            </w:r>
          </w:p>
        </w:tc>
        <w:tc>
          <w:tcPr>
            <w:tcW w:type="dxa" w:w="2510"/>
            <w:shd w:fill="292527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Akceptace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VIS-035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Hlavní obsah je na širokém desktopu příliš úzký a veškerá typografie je opticky zmenšená; vzniká velká nevyužitá plocha.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Uvnitř dostupného main sloupce použít max-width 1100–1180 px a standardní typografické role; nezmenšovat komponenty kvůli délce stránky. Zachovat 24/32 px mezery.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Při 1920 px je souhrn čitelný na 100 % a využívá hlavní sloupec bez nepřiměřené prázdné plochy.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VIS-036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Benefit karty, checklist, služby a formulář používají několik cizích ikon a různou velikost icon containerů.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Všechny ikony nahradit finální technickou/UI sadou; obsahová ikona 24 px v 44 px containeru, stejný stroke. Žádné hardhat/tag/shield glyphy mimo registr.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Každá ikona je dohledatelná v approved registry a všechny containery mají shodnou geometrii.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VIS-037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Statusy „Doplněno / Vyžaduje posouzení“, termínové slevy a volby přístupnosti používají různé zelené/oranžové odstíny a velikosti badge.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StatusPill 28–32 px: completed Aqua, attention Amber, neutral Linen. Jednotná ikona 16/18 px, Flama 600 13/18. Segmentované volby 44 px.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Stejný význam má stejnou barvu, ikonu a badge ve všech sekcích souhrnu.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VIS-038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Tabulka rozpočtu má velmi drobný text; řádky součtu, slevy a DPH mají odlišnou typografii bez jasné, opakovatelné hierarchie.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Body tabulky 13–14/18, hlavička 12/15 uppercase, částky tabular. Sleva = Pale Amber/Amber; mezisoučet = Ink/White; finální cena Gotham 28–32/34. Řádky min. 40 px.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Tabulka je čitelná při 100 % a hierarchie slevy → mezisoučet → DPH → finální cena je okamžitě zřejmá.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VIS-039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S13</w:t>
            </w:r>
          </w:p>
        </w:tc>
        <w:tc>
          <w:tcPr>
            <w:tcW w:type="dxa" w:w="427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Tmavý formulář používá jiné buttony, vstupy a nativní checkbox; popisky a vysvětlující text jsou pod minimální velikostí.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Inverse Form systém: label 13/18, input 44 px, textarea min. 88 px, inverse Secondary 44 px, vlastní checkbox 20/44, body min. 14/20. CTA pouze jedna Primary v patičce.</w:t>
            </w:r>
          </w:p>
        </w:tc>
        <w:tc>
          <w:tcPr>
            <w:tcW w:type="dxa" w:w="2510"/>
            <w:shd w:fill="FFFFFF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Formulář používá stejné radius/border/font tokeny jako zbytek produktu a nemá nativní checkbox.</w:t>
            </w:r>
          </w:p>
        </w:tc>
      </w:tr>
      <w:tr>
        <w:trPr>
          <w:cantSplit/>
        </w:trPr>
        <w:tc>
          <w:tcPr>
            <w:tcW w:type="dxa" w:w="85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292527"/>
                <w:sz w:val="16"/>
              </w:rPr>
              <w:t>VIS-040</w:t>
            </w:r>
          </w:p>
        </w:tc>
        <w:tc>
          <w:tcPr>
            <w:tcW w:type="dxa" w:w="430"/>
            <w:shd w:fill="D39A52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130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5E5C55"/>
                <w:sz w:val="16"/>
              </w:rPr>
              <w:t>S13</w:t>
            </w:r>
          </w:p>
        </w:tc>
        <w:tc>
          <w:tcPr>
            <w:tcW w:type="dxa" w:w="427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i w:val="0"/>
                <w:color w:val="D39A52"/>
                <w:sz w:val="15"/>
              </w:rPr>
              <w:t xml:space="preserve">CHYBA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Sticky footer a souhrn obsahují rozdílné CTA styly; text „Odeslat nezávaznou poptávku“ má jiné prostrkání a ikonu než předchozí kroky.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759192"/>
                <w:sz w:val="15"/>
              </w:rPr>
              <w:t xml:space="preserve">OPRAVA  </w:t>
            </w: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Použít stejnou Primary-on-dark komponentu jako v krocích: 56 px, Flama 600 14/18, letter-spacing 0, approved arrow/send ikona 18 px, spacing 8 px.</w:t>
            </w:r>
          </w:p>
        </w:tc>
        <w:tc>
          <w:tcPr>
            <w:tcW w:type="dxa" w:w="2510"/>
            <w:shd w:fill="F7F5F1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292527"/>
                <w:sz w:val="16"/>
              </w:rPr>
              <w:t>CTA má shodnou výšku, font, ikonu a hover/focus jako ostatní hlavní akce.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rFonts w:ascii="Arial" w:hAnsi="Arial"/>
          <w:b/>
          <w:i w:val="0"/>
          <w:color w:val="759192"/>
          <w:sz w:val="16"/>
        </w:rPr>
        <w:t>PŘEDÁVACÍ KONTROLA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Definition of done pro kodéra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Ve zdrojovém kódu existuje jediná mapa fontů a velikostí; nejsou page-specific font-size, font-family ani letter-spacing pro sdílené komponenty.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Všechny SVG ikony pocházejí z jednoho approved PREFA registry; nejsou použity emoji, Unicode symboly, icon-fonty ani nativní browser glyphy.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Každá homogenní řada tlačítek má shodnou výšku, padding, velikost popisku, baseline a rozměr ikony.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Sidebar i StageStepper používají stejných pět stavů: completed, current, available, locked, attention.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UploadCard, preview, kalibrace, toolbar, canvas, MeasureList, katalog, Tereza a footer jsou sdílené komponenty ve stěnách, stropu i střeše.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Na žádné kontrolované obrazovce nezůstává legacy blue, nativní checkbox nebo generická ikona mimo sadu.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Všechny informativní texty mají minimálně 13 px; disabled stav zůstává čitelný a nemění geometrii komponenty.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Tereza drawer nezakrývá napůl stepper ani katalog, má Close 44×44 a po zavření zachová scroll a stav konfigurace.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Sticky footer má na každém kroku stejnou geometrii a pod hlavním obsahem je dostatečný spodní offset.</w:t>
      </w:r>
    </w:p>
    <w:p>
      <w:pPr>
        <w:pStyle w:val="ListBullet"/>
        <w:spacing w:after="100"/>
        <w:ind w:left="360" w:hanging="259"/>
      </w:pPr>
      <w:r>
        <w:rPr>
          <w:rFonts w:ascii="Arial" w:hAnsi="Arial"/>
          <w:b w:val="0"/>
          <w:i w:val="0"/>
          <w:color w:val="292527"/>
          <w:sz w:val="19"/>
        </w:rPr>
        <w:t>Regresní screenshoty jsou porovnány minimálně při šířkách 1920, 1440 a 1280 px; rozdíly jsou pouze obsahové, nikoli ve sdílených komponentách.</w:t>
      </w:r>
    </w:p>
    <w:p>
      <w:pPr>
        <w:pStyle w:val="Heading1"/>
        <w:keepNext/>
        <w:pageBreakBefore w:val="0"/>
      </w:pPr>
      <w:r>
        <w:rPr>
          <w:rFonts w:ascii="Arial" w:hAnsi="Arial"/>
          <w:b/>
          <w:i w:val="0"/>
          <w:color w:val="292527"/>
          <w:sz w:val="32"/>
        </w:rPr>
        <w:t>Doporučené pořadí opravy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5" w:space="0" w:color="DED8CF"/>
          <w:left w:val="single" w:sz="5" w:space="0" w:color="DED8CF"/>
          <w:bottom w:val="single" w:sz="5" w:space="0" w:color="DED8CF"/>
          <w:right w:val="single" w:sz="5" w:space="0" w:color="DED8CF"/>
          <w:insideH w:val="single" w:sz="5" w:space="0" w:color="DED8CF"/>
          <w:insideV w:val="single" w:sz="5" w:space="0" w:color="DED8CF"/>
        </w:tblBorders>
      </w:tblPr>
      <w:tblGrid>
        <w:gridCol w:w="620"/>
        <w:gridCol w:w="2120"/>
        <w:gridCol w:w="6620"/>
      </w:tblGrid>
      <w:tr>
        <w:trPr>
          <w:tblHeader w:val="true"/>
        </w:trPr>
        <w:tc>
          <w:tcPr>
            <w:tcW w:type="dxa" w:w="620"/>
            <w:shd w:fill="2925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120"/>
            <w:shd w:fill="2925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Rozsah</w:t>
            </w:r>
          </w:p>
        </w:tc>
        <w:tc>
          <w:tcPr>
            <w:tcW w:type="dxa" w:w="6620"/>
            <w:shd w:fill="2925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Výsledek</w:t>
            </w:r>
          </w:p>
        </w:tc>
      </w:tr>
      <w:tr>
        <w:tc>
          <w:tcPr>
            <w:tcW w:type="dxa" w:w="6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1</w:t>
            </w:r>
          </w:p>
        </w:tc>
        <w:tc>
          <w:tcPr>
            <w:tcW w:type="dxa" w:w="21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VIS-001 až VIS-008</w:t>
            </w:r>
          </w:p>
        </w:tc>
        <w:tc>
          <w:tcPr>
            <w:tcW w:type="dxa" w:w="66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Nejprve tokeny a kořenové komponenty; jinak se budou chyby vracet.</w:t>
            </w:r>
          </w:p>
        </w:tc>
      </w:tr>
      <w:tr>
        <w:tc>
          <w:tcPr>
            <w:tcW w:type="dxa" w:w="620"/>
            <w:shd w:fill="F7F5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2</w:t>
            </w:r>
          </w:p>
        </w:tc>
        <w:tc>
          <w:tcPr>
            <w:tcW w:type="dxa" w:w="2120"/>
            <w:shd w:fill="F7F5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VIS-009 až VIS-030</w:t>
            </w:r>
          </w:p>
        </w:tc>
        <w:tc>
          <w:tcPr>
            <w:tcW w:type="dxa" w:w="6620"/>
            <w:shd w:fill="F7F5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Shell, navigace, podpora, upload, toolbar, canvas a pravý panel.</w:t>
            </w:r>
          </w:p>
        </w:tc>
      </w:tr>
      <w:tr>
        <w:tc>
          <w:tcPr>
            <w:tcW w:type="dxa" w:w="6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3</w:t>
            </w:r>
          </w:p>
        </w:tc>
        <w:tc>
          <w:tcPr>
            <w:tcW w:type="dxa" w:w="21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VIS-031 až VIS-040</w:t>
            </w:r>
          </w:p>
        </w:tc>
        <w:tc>
          <w:tcPr>
            <w:tcW w:type="dxa" w:w="66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Landing page, krok 1 a závěrečný souhrn.</w:t>
            </w:r>
          </w:p>
        </w:tc>
      </w:tr>
      <w:tr>
        <w:tc>
          <w:tcPr>
            <w:tcW w:type="dxa" w:w="620"/>
            <w:shd w:fill="F7F5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4</w:t>
            </w:r>
          </w:p>
        </w:tc>
        <w:tc>
          <w:tcPr>
            <w:tcW w:type="dxa" w:w="2120"/>
            <w:shd w:fill="F7F5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7"/>
              </w:rPr>
              <w:t>Regresní kontrola</w:t>
            </w:r>
          </w:p>
        </w:tc>
        <w:tc>
          <w:tcPr>
            <w:tcW w:type="dxa" w:w="6620"/>
            <w:shd w:fill="F7F5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92527"/>
                <w:sz w:val="17"/>
              </w:rPr>
              <w:t>Znovu vyfotit stejné stavy S01–S13 a projít Definition of done.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8" w:space="0" w:color="D39A52"/>
          <w:left w:val="single" w:sz="8" w:space="0" w:color="D39A52"/>
          <w:bottom w:val="single" w:sz="8" w:space="0" w:color="D39A52"/>
          <w:right w:val="single" w:sz="8" w:space="0" w:color="D39A5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5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92527"/>
                <w:sz w:val="18"/>
              </w:rPr>
              <w:t xml:space="preserve">Schvalovací brána: </w:t>
            </w:r>
            <w:r>
              <w:rPr>
                <w:rFonts w:ascii="Arial" w:hAnsi="Arial"/>
                <w:b w:val="0"/>
                <w:i w:val="0"/>
                <w:color w:val="292527"/>
                <w:sz w:val="18"/>
              </w:rPr>
              <w:t>Neprovádět další lokální vizuální úpravy, dokud nejsou uzavřeny všechny P0 položky a stejné sdílené komponenty nevypadají shodně ve všech 13 stavech.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/>
        <w:b w:val="0"/>
        <w:i w:val="0"/>
        <w:color w:val="9E998E"/>
        <w:sz w:val="15"/>
      </w:rPr>
      <w:t>Audit 13 stavů · 25. 8.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5E5C55"/>
        <w:sz w:val="16"/>
      </w:rPr>
      <w:t>PREFA ŠOP</w:t>
    </w:r>
    <w:r>
      <w:rPr>
        <w:rFonts w:ascii="Arial" w:hAnsi="Arial"/>
        <w:b/>
        <w:i w:val="0"/>
        <w:color w:val="759192"/>
        <w:sz w:val="16"/>
      </w:rPr>
      <w:t xml:space="preserve">  /  PROTOKOL VIZUÁLNÍCH CHYB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925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925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925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925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 ŠOP — protokol vizuálních chyb</dc:title>
  <dc:subject>Finální sjednocení landing page a konfigurátoru</dc:subject>
  <dc:creator>OpenAI · UX audit</dc:creator>
  <cp:keywords>PREFA ŠOP, UX audit, design system, visual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