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A2921" w14:textId="77777777" w:rsidR="00C94CD6" w:rsidRPr="00F16962" w:rsidRDefault="00C94CD6" w:rsidP="00C94C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E101A"/>
          <w:sz w:val="40"/>
          <w:szCs w:val="24"/>
          <w:lang w:eastAsia="en-IN"/>
        </w:rPr>
      </w:pPr>
      <w:r w:rsidRPr="00885CA9">
        <w:rPr>
          <w:rFonts w:ascii="Arial" w:eastAsia="Times New Roman" w:hAnsi="Arial" w:cs="Arial"/>
          <w:b/>
          <w:color w:val="0E101A"/>
          <w:sz w:val="40"/>
          <w:szCs w:val="24"/>
          <w:lang w:eastAsia="en-IN"/>
        </w:rPr>
        <w:t>Importance of IVPT in skin studies</w:t>
      </w:r>
    </w:p>
    <w:p w14:paraId="0258B507" w14:textId="77777777" w:rsidR="00C94CD6" w:rsidRDefault="00C94CD6" w:rsidP="00C94C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  <w:lang w:eastAsia="en-IN"/>
        </w:rPr>
      </w:pPr>
    </w:p>
    <w:p w14:paraId="20257F73" w14:textId="77777777" w:rsidR="00C94CD6" w:rsidRPr="00F16962" w:rsidRDefault="00C94CD6" w:rsidP="00C94C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E101A"/>
          <w:szCs w:val="24"/>
          <w:lang w:eastAsia="en-IN"/>
        </w:rPr>
      </w:pPr>
    </w:p>
    <w:p w14:paraId="59971135" w14:textId="2C6B37C4" w:rsidR="00C94CD6" w:rsidRPr="00885CA9" w:rsidRDefault="00C94CD6" w:rsidP="00C94CD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2"/>
          <w:lang w:eastAsia="en-IN"/>
        </w:rPr>
      </w:pPr>
      <w:r w:rsidRPr="00F16962">
        <w:rPr>
          <w:rFonts w:ascii="Karla" w:hAnsi="Karla"/>
          <w:iCs/>
          <w:color w:val="404040"/>
          <w:sz w:val="23"/>
          <w:szCs w:val="33"/>
          <w:bdr w:val="single" w:sz="2" w:space="0" w:color="E2E8F0" w:frame="1"/>
          <w:shd w:val="clear" w:color="auto" w:fill="F7FAFC"/>
        </w:rPr>
        <w:t>In Vitro</w:t>
      </w:r>
      <w:r w:rsidRPr="00F16962">
        <w:rPr>
          <w:rFonts w:ascii="Karla" w:hAnsi="Karla"/>
          <w:i/>
          <w:iCs/>
          <w:color w:val="404040"/>
          <w:sz w:val="23"/>
          <w:szCs w:val="33"/>
          <w:bdr w:val="single" w:sz="2" w:space="0" w:color="E2E8F0" w:frame="1"/>
          <w:shd w:val="clear" w:color="auto" w:fill="F7FAFC"/>
        </w:rPr>
        <w:t> </w:t>
      </w:r>
      <w:r w:rsidRPr="00F16962">
        <w:rPr>
          <w:rFonts w:ascii="Karla" w:hAnsi="Karla"/>
          <w:color w:val="404040"/>
          <w:sz w:val="23"/>
          <w:szCs w:val="33"/>
          <w:shd w:val="clear" w:color="auto" w:fill="F7FAFC"/>
        </w:rPr>
        <w:t>permeation testing (</w:t>
      </w:r>
      <w:r w:rsidRPr="00F16962">
        <w:rPr>
          <w:rFonts w:ascii="Karla" w:hAnsi="Karla"/>
          <w:b/>
          <w:color w:val="404040"/>
          <w:sz w:val="23"/>
          <w:szCs w:val="33"/>
          <w:shd w:val="clear" w:color="auto" w:fill="F7FAFC"/>
        </w:rPr>
        <w:t>IVPT</w:t>
      </w:r>
      <w:r w:rsidRPr="00F16962">
        <w:rPr>
          <w:rFonts w:ascii="Karla" w:hAnsi="Karla"/>
          <w:color w:val="404040"/>
          <w:sz w:val="23"/>
          <w:szCs w:val="33"/>
          <w:shd w:val="clear" w:color="auto" w:fill="F7FAFC"/>
        </w:rPr>
        <w:t xml:space="preserve">) researches across biological membranes </w:t>
      </w:r>
      <w:r w:rsidR="001E3039">
        <w:rPr>
          <w:rFonts w:ascii="Karla" w:hAnsi="Karla"/>
          <w:color w:val="404040"/>
          <w:sz w:val="23"/>
          <w:szCs w:val="33"/>
          <w:shd w:val="clear" w:color="auto" w:fill="F7FAFC"/>
        </w:rPr>
        <w:t>of</w:t>
      </w:r>
      <w:r w:rsidRPr="00F16962">
        <w:rPr>
          <w:rFonts w:ascii="Karla" w:hAnsi="Karla"/>
          <w:color w:val="404040"/>
          <w:sz w:val="23"/>
          <w:szCs w:val="33"/>
          <w:shd w:val="clear" w:color="auto" w:fill="F7FAFC"/>
        </w:rPr>
        <w:t xml:space="preserve"> the skin or in the eye </w:t>
      </w:r>
      <w:r w:rsidR="001E3039">
        <w:rPr>
          <w:rFonts w:ascii="Karla" w:hAnsi="Karla"/>
          <w:color w:val="404040"/>
          <w:sz w:val="23"/>
          <w:szCs w:val="33"/>
          <w:shd w:val="clear" w:color="auto" w:fill="F7FAFC"/>
        </w:rPr>
        <w:t xml:space="preserve">&amp; act as a </w:t>
      </w:r>
      <w:r w:rsidRPr="00F16962">
        <w:rPr>
          <w:rFonts w:ascii="Karla" w:hAnsi="Karla"/>
          <w:color w:val="404040"/>
          <w:sz w:val="23"/>
          <w:szCs w:val="33"/>
          <w:shd w:val="clear" w:color="auto" w:fill="F7FAFC"/>
        </w:rPr>
        <w:t xml:space="preserve">critical guide </w:t>
      </w:r>
      <w:r w:rsidR="00652890">
        <w:rPr>
          <w:rFonts w:ascii="Karla" w:hAnsi="Karla"/>
          <w:color w:val="404040"/>
          <w:sz w:val="23"/>
          <w:szCs w:val="33"/>
          <w:shd w:val="clear" w:color="auto" w:fill="F7FAFC"/>
        </w:rPr>
        <w:t xml:space="preserve">to </w:t>
      </w:r>
      <w:r w:rsidRPr="00F16962">
        <w:rPr>
          <w:rFonts w:ascii="Karla" w:hAnsi="Karla"/>
          <w:color w:val="404040"/>
          <w:sz w:val="23"/>
          <w:szCs w:val="33"/>
          <w:shd w:val="clear" w:color="auto" w:fill="F7FAFC"/>
        </w:rPr>
        <w:t>product development and to build product bioequivalence</w:t>
      </w:r>
      <w:r w:rsidR="00F3486A">
        <w:rPr>
          <w:rFonts w:ascii="Karla" w:hAnsi="Karla"/>
          <w:color w:val="404040"/>
          <w:sz w:val="23"/>
          <w:szCs w:val="33"/>
          <w:shd w:val="clear" w:color="auto" w:fill="F7FAFC"/>
        </w:rPr>
        <w:t>, a</w:t>
      </w:r>
      <w:r w:rsidRPr="00F16962">
        <w:rPr>
          <w:rFonts w:ascii="Karla" w:hAnsi="Karla"/>
          <w:color w:val="404040"/>
          <w:sz w:val="23"/>
          <w:szCs w:val="33"/>
          <w:shd w:val="clear" w:color="auto" w:fill="F7FAFC"/>
        </w:rPr>
        <w:t xml:space="preserve">long with QbD-guided formulation development and robust IVRT methodologies, Absorptions Systems’ optimized and validated </w:t>
      </w:r>
      <w:hyperlink r:id="rId5" w:history="1">
        <w:r w:rsidRPr="007E6C6C">
          <w:rPr>
            <w:rStyle w:val="Hyperlink"/>
            <w:rFonts w:ascii="Karla" w:hAnsi="Karla"/>
            <w:b/>
            <w:bCs/>
            <w:sz w:val="23"/>
            <w:szCs w:val="33"/>
            <w:shd w:val="clear" w:color="auto" w:fill="F7FAFC"/>
          </w:rPr>
          <w:t>IVPT</w:t>
        </w:r>
      </w:hyperlink>
      <w:r w:rsidRPr="00F16962">
        <w:rPr>
          <w:rFonts w:ascii="Karla" w:hAnsi="Karla"/>
          <w:color w:val="404040"/>
          <w:sz w:val="23"/>
          <w:szCs w:val="33"/>
          <w:shd w:val="clear" w:color="auto" w:fill="F7FAFC"/>
        </w:rPr>
        <w:t xml:space="preserve"> testing provides complete data required to enable the highest degree of success for NCE, ANDA or 505(b)(2) filing.</w:t>
      </w:r>
    </w:p>
    <w:p w14:paraId="137BF21A" w14:textId="77777777" w:rsidR="00C94CD6" w:rsidRDefault="00C94CD6" w:rsidP="00C94CD6"/>
    <w:p w14:paraId="15038CBD" w14:textId="3E54FEB2" w:rsidR="00C94CD6" w:rsidRDefault="009E093A" w:rsidP="00C94CD6">
      <w:r>
        <w:t>In</w:t>
      </w:r>
      <w:r w:rsidR="00C94CD6">
        <w:t xml:space="preserve"> the critical phases of the drug development process and lifecycle, disintegration testing, which distinguishes actual changes in API and the drug plan, </w:t>
      </w:r>
      <w:r w:rsidR="005D1363">
        <w:t>needs</w:t>
      </w:r>
      <w:r w:rsidR="00C94CD6">
        <w:t xml:space="preserve"> all strong oral dose structures. Also, for non-oral dose structures, including semi-strong skin definitions, in vitro discharge testing is expected to assess drug discharge properties. </w:t>
      </w:r>
    </w:p>
    <w:p w14:paraId="443AF877" w14:textId="77777777" w:rsidR="00C94CD6" w:rsidRDefault="00C94CD6" w:rsidP="00C94CD6"/>
    <w:p w14:paraId="255AC3D9" w14:textId="77777777" w:rsidR="00C94CD6" w:rsidRDefault="00C94CD6" w:rsidP="00C94CD6">
      <w:r>
        <w:t xml:space="preserve">IVRT estimates the delivery pace of a drug by utilizing Franz dissemination cells and a non-intuitive manufactured layer or skin and can be used to create methods for investigating a scope of semi-strong measurements structures, including: </w:t>
      </w:r>
    </w:p>
    <w:p w14:paraId="261834C6" w14:textId="77777777" w:rsidR="00C94CD6" w:rsidRDefault="00C94CD6" w:rsidP="00C94CD6"/>
    <w:p w14:paraId="09AD5AB6" w14:textId="77777777" w:rsidR="00C94CD6" w:rsidRDefault="00C94CD6" w:rsidP="00C94CD6">
      <w:pPr>
        <w:pStyle w:val="ListParagraph"/>
        <w:numPr>
          <w:ilvl w:val="0"/>
          <w:numId w:val="4"/>
        </w:numPr>
      </w:pPr>
      <w:r>
        <w:t xml:space="preserve">Creams </w:t>
      </w:r>
    </w:p>
    <w:p w14:paraId="5A7DB63B" w14:textId="77777777" w:rsidR="00C94CD6" w:rsidRDefault="00C94CD6" w:rsidP="00C94CD6">
      <w:pPr>
        <w:pStyle w:val="ListParagraph"/>
        <w:numPr>
          <w:ilvl w:val="0"/>
          <w:numId w:val="4"/>
        </w:numPr>
      </w:pPr>
      <w:r>
        <w:t xml:space="preserve">Ointments </w:t>
      </w:r>
    </w:p>
    <w:p w14:paraId="23C4E587" w14:textId="77777777" w:rsidR="00C94CD6" w:rsidRDefault="00C94CD6" w:rsidP="00C94CD6">
      <w:pPr>
        <w:pStyle w:val="ListParagraph"/>
        <w:numPr>
          <w:ilvl w:val="0"/>
          <w:numId w:val="4"/>
        </w:numPr>
      </w:pPr>
      <w:r>
        <w:t xml:space="preserve">Lotions </w:t>
      </w:r>
    </w:p>
    <w:p w14:paraId="53A63BB1" w14:textId="77777777" w:rsidR="00C94CD6" w:rsidRDefault="00C94CD6" w:rsidP="00C94CD6">
      <w:pPr>
        <w:pStyle w:val="ListParagraph"/>
        <w:numPr>
          <w:ilvl w:val="0"/>
          <w:numId w:val="4"/>
        </w:numPr>
      </w:pPr>
      <w:r>
        <w:t xml:space="preserve">Hydrogels </w:t>
      </w:r>
    </w:p>
    <w:p w14:paraId="2B4CD25D" w14:textId="77777777" w:rsidR="00C94CD6" w:rsidRDefault="00C94CD6" w:rsidP="00C94CD6">
      <w:pPr>
        <w:pStyle w:val="ListParagraph"/>
        <w:numPr>
          <w:ilvl w:val="0"/>
          <w:numId w:val="4"/>
        </w:numPr>
      </w:pPr>
      <w:r>
        <w:t xml:space="preserve">Suspensions </w:t>
      </w:r>
    </w:p>
    <w:p w14:paraId="3D2F0430" w14:textId="77777777" w:rsidR="00C94CD6" w:rsidRDefault="00C94CD6" w:rsidP="00C94CD6">
      <w:pPr>
        <w:pStyle w:val="ListParagraph"/>
        <w:numPr>
          <w:ilvl w:val="0"/>
          <w:numId w:val="4"/>
        </w:numPr>
      </w:pPr>
      <w:r>
        <w:t xml:space="preserve">Topical Aerosols </w:t>
      </w:r>
    </w:p>
    <w:p w14:paraId="4FC08D70" w14:textId="77777777" w:rsidR="00C94CD6" w:rsidRDefault="00C94CD6" w:rsidP="00C94CD6">
      <w:pPr>
        <w:pStyle w:val="ListParagraph"/>
        <w:numPr>
          <w:ilvl w:val="0"/>
          <w:numId w:val="4"/>
        </w:numPr>
      </w:pPr>
      <w:r>
        <w:t xml:space="preserve">Liposomes/Ethosomes </w:t>
      </w:r>
    </w:p>
    <w:p w14:paraId="28FEE006" w14:textId="77777777" w:rsidR="00C94CD6" w:rsidRDefault="00C94CD6" w:rsidP="00C94CD6">
      <w:pPr>
        <w:pStyle w:val="ListParagraph"/>
        <w:numPr>
          <w:ilvl w:val="0"/>
          <w:numId w:val="4"/>
        </w:numPr>
      </w:pPr>
      <w:r>
        <w:t xml:space="preserve">Microencapsulation </w:t>
      </w:r>
    </w:p>
    <w:p w14:paraId="54E513F4" w14:textId="77777777" w:rsidR="00C94CD6" w:rsidRDefault="00C94CD6" w:rsidP="00C94CD6"/>
    <w:p w14:paraId="733B664F" w14:textId="6370425D" w:rsidR="00C94CD6" w:rsidRDefault="00C94CD6" w:rsidP="00C94CD6">
      <w:r>
        <w:t>F</w:t>
      </w:r>
      <w:r w:rsidR="0099301B">
        <w:t xml:space="preserve">ood and Drug </w:t>
      </w:r>
      <w:r w:rsidR="00836E35">
        <w:t>Administration</w:t>
      </w:r>
      <w:r>
        <w:t xml:space="preserve"> initially delivered its direction for the industry, Scale-Up, and Post-Approval Changes: Chemistry, Manufacturing, and Controls; In VRT and In Vivo Bioequivalence Documentation for Non-Sterile Semi-Solid Dosage Forms in May 1997. SUPAC-SS addresses non-clean semi-strong measurements structures with expected effective courses and characterizes: </w:t>
      </w:r>
    </w:p>
    <w:p w14:paraId="48D0C967" w14:textId="77777777" w:rsidR="00C94CD6" w:rsidRPr="00F16962" w:rsidRDefault="00C94CD6" w:rsidP="00C94CD6">
      <w:pPr>
        <w:rPr>
          <w:sz w:val="24"/>
        </w:rPr>
      </w:pPr>
    </w:p>
    <w:p w14:paraId="0CCB530E" w14:textId="77777777" w:rsidR="00C94CD6" w:rsidRPr="00F16962" w:rsidRDefault="00C94CD6" w:rsidP="00F16962">
      <w:pPr>
        <w:pStyle w:val="ListParagraph"/>
        <w:numPr>
          <w:ilvl w:val="0"/>
          <w:numId w:val="5"/>
        </w:numPr>
        <w:rPr>
          <w:sz w:val="24"/>
        </w:rPr>
      </w:pPr>
      <w:r w:rsidRPr="00F16962">
        <w:rPr>
          <w:sz w:val="24"/>
        </w:rPr>
        <w:t xml:space="preserve">Levels of progress </w:t>
      </w:r>
    </w:p>
    <w:p w14:paraId="6F3E035E" w14:textId="77777777" w:rsidR="00C94CD6" w:rsidRDefault="00C94CD6" w:rsidP="00F16962">
      <w:pPr>
        <w:pStyle w:val="ListParagraph"/>
        <w:numPr>
          <w:ilvl w:val="0"/>
          <w:numId w:val="5"/>
        </w:numPr>
      </w:pPr>
      <w:r>
        <w:t xml:space="preserve">CMC tests to help each degree of progress </w:t>
      </w:r>
    </w:p>
    <w:p w14:paraId="391431B3" w14:textId="77777777" w:rsidR="00C94CD6" w:rsidRDefault="00C94CD6" w:rsidP="00F16962">
      <w:pPr>
        <w:pStyle w:val="ListParagraph"/>
        <w:numPr>
          <w:ilvl w:val="0"/>
          <w:numId w:val="5"/>
        </w:numPr>
      </w:pPr>
      <w:r>
        <w:t xml:space="preserve">Recommended in vitro discharge tests as well as in vivo bioequivalence tests to help each degree of progress </w:t>
      </w:r>
    </w:p>
    <w:p w14:paraId="56C35FF1" w14:textId="77777777" w:rsidR="00C94CD6" w:rsidRDefault="00C94CD6" w:rsidP="00F16962">
      <w:pPr>
        <w:pStyle w:val="ListParagraph"/>
        <w:numPr>
          <w:ilvl w:val="0"/>
          <w:numId w:val="5"/>
        </w:numPr>
      </w:pPr>
      <w:r>
        <w:t xml:space="preserve">Documentation to help the change </w:t>
      </w:r>
    </w:p>
    <w:p w14:paraId="20447812" w14:textId="77777777" w:rsidR="00C94CD6" w:rsidRDefault="00C94CD6" w:rsidP="00C94CD6"/>
    <w:p w14:paraId="7DBF0401" w14:textId="77777777" w:rsidR="00C94CD6" w:rsidRDefault="00C94CD6" w:rsidP="00C94CD6">
      <w:r>
        <w:t xml:space="preserve">Recently, the FDA has distributed a few explicit rules trying to conquer hindrances to generics and improving patient consideration. Such clear and exacting rules assist the business with </w:t>
      </w:r>
      <w:r>
        <w:lastRenderedPageBreak/>
        <w:t xml:space="preserve">bioequivalence (BE) evaluations utilizing in-vitro discharge and in-vitro pervasion philosophies instead of clinical investigations. </w:t>
      </w:r>
    </w:p>
    <w:p w14:paraId="2409A6C8" w14:textId="77777777" w:rsidR="00C94CD6" w:rsidRDefault="00C94CD6" w:rsidP="00C94CD6"/>
    <w:p w14:paraId="2150096B" w14:textId="589FECEC" w:rsidR="00C94CD6" w:rsidRDefault="00C94CD6" w:rsidP="00C94CD6">
      <w:r>
        <w:t>The role of IVRT and</w:t>
      </w:r>
      <w:r w:rsidRPr="00F16962">
        <w:rPr>
          <w:b/>
        </w:rPr>
        <w:t xml:space="preserve"> </w:t>
      </w:r>
      <w:hyperlink r:id="rId6" w:history="1">
        <w:r w:rsidRPr="007E6C6C">
          <w:rPr>
            <w:rStyle w:val="Hyperlink"/>
            <w:b/>
          </w:rPr>
          <w:t>IVPT</w:t>
        </w:r>
      </w:hyperlink>
      <w:r>
        <w:t xml:space="preserve"> for supporting Bioequivalence Waiver and Sameness Testing </w:t>
      </w:r>
      <w:r w:rsidR="00CE47FD">
        <w:t>includes:</w:t>
      </w:r>
    </w:p>
    <w:p w14:paraId="168621A5" w14:textId="77777777" w:rsidR="00C94CD6" w:rsidRPr="004F2C17" w:rsidRDefault="00C94CD6" w:rsidP="00C94CD6">
      <w:pPr>
        <w:rPr>
          <w:sz w:val="24"/>
          <w:szCs w:val="24"/>
        </w:rPr>
      </w:pPr>
    </w:p>
    <w:p w14:paraId="32C56D44" w14:textId="77777777" w:rsidR="00C94CD6" w:rsidRPr="004F2C17" w:rsidRDefault="00C94CD6" w:rsidP="004F2C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2C17">
        <w:rPr>
          <w:sz w:val="24"/>
          <w:szCs w:val="24"/>
        </w:rPr>
        <w:t xml:space="preserve">Industry-standard Franz vertical dispersions cells from Permegear </w:t>
      </w:r>
    </w:p>
    <w:p w14:paraId="5AFD97A1" w14:textId="77777777" w:rsidR="00C94CD6" w:rsidRPr="004F2C17" w:rsidRDefault="00C94CD6" w:rsidP="004F2C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2C17">
        <w:rPr>
          <w:sz w:val="24"/>
          <w:szCs w:val="24"/>
        </w:rPr>
        <w:t xml:space="preserve">Identification of proper mimicked films </w:t>
      </w:r>
    </w:p>
    <w:p w14:paraId="4DAED1BB" w14:textId="77777777" w:rsidR="00C94CD6" w:rsidRPr="004F2C17" w:rsidRDefault="00C94CD6" w:rsidP="004F2C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2C17">
        <w:rPr>
          <w:sz w:val="24"/>
          <w:szCs w:val="24"/>
        </w:rPr>
        <w:t xml:space="preserve">Development of motion conditions </w:t>
      </w:r>
    </w:p>
    <w:p w14:paraId="46B0CF65" w14:textId="77777777" w:rsidR="00C94CD6" w:rsidRPr="004F2C17" w:rsidRDefault="00C94CD6" w:rsidP="004F2C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2C17">
        <w:rPr>
          <w:sz w:val="24"/>
          <w:szCs w:val="24"/>
        </w:rPr>
        <w:t xml:space="preserve">Product portion </w:t>
      </w:r>
    </w:p>
    <w:p w14:paraId="08113514" w14:textId="77777777" w:rsidR="00C94CD6" w:rsidRPr="004F2C17" w:rsidRDefault="00C94CD6" w:rsidP="004F2C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2C17">
        <w:rPr>
          <w:sz w:val="24"/>
          <w:szCs w:val="24"/>
        </w:rPr>
        <w:t xml:space="preserve">Sampling stretches </w:t>
      </w:r>
    </w:p>
    <w:p w14:paraId="172DFC83" w14:textId="77777777" w:rsidR="00C94CD6" w:rsidRPr="004F2C17" w:rsidRDefault="00C94CD6" w:rsidP="004F2C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2C17">
        <w:rPr>
          <w:sz w:val="24"/>
          <w:szCs w:val="24"/>
        </w:rPr>
        <w:t xml:space="preserve">Stirring rate </w:t>
      </w:r>
    </w:p>
    <w:p w14:paraId="6CCC9842" w14:textId="37702FDA" w:rsidR="00C94CD6" w:rsidRPr="005D1363" w:rsidRDefault="00C94CD6" w:rsidP="00AB1AC1">
      <w:pPr>
        <w:pStyle w:val="ListParagraph"/>
        <w:numPr>
          <w:ilvl w:val="0"/>
          <w:numId w:val="6"/>
        </w:numPr>
      </w:pPr>
      <w:r w:rsidRPr="004F2C17">
        <w:t xml:space="preserve">Selection of receptor arrangement </w:t>
      </w:r>
    </w:p>
    <w:p w14:paraId="7FFA1608" w14:textId="77777777" w:rsidR="00C94CD6" w:rsidRPr="004F2C17" w:rsidRDefault="00C94CD6" w:rsidP="004F2C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2C17">
        <w:rPr>
          <w:sz w:val="24"/>
          <w:szCs w:val="24"/>
        </w:rPr>
        <w:t xml:space="preserve">Development and approval of particular and hearty test methods </w:t>
      </w:r>
    </w:p>
    <w:p w14:paraId="382C2D10" w14:textId="77777777" w:rsidR="00C94CD6" w:rsidRPr="004F2C17" w:rsidRDefault="00C94CD6" w:rsidP="004F2C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2C17">
        <w:rPr>
          <w:sz w:val="24"/>
          <w:szCs w:val="24"/>
        </w:rPr>
        <w:t xml:space="preserve">IVRT and IVPT mechanical assembly capability, film capability, receptor arrangement capability </w:t>
      </w:r>
    </w:p>
    <w:p w14:paraId="11C997E8" w14:textId="77777777" w:rsidR="00C94CD6" w:rsidRPr="004F2C17" w:rsidRDefault="00C94CD6" w:rsidP="004F2C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2C17">
        <w:rPr>
          <w:sz w:val="24"/>
          <w:szCs w:val="24"/>
        </w:rPr>
        <w:t xml:space="preserve">Reconcile giver/acceptor part of the cell </w:t>
      </w:r>
    </w:p>
    <w:p w14:paraId="7DD551A1" w14:textId="1C7A29CF" w:rsidR="00C94CD6" w:rsidRPr="004F2C17" w:rsidRDefault="00C94CD6" w:rsidP="004F2C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2C17">
        <w:rPr>
          <w:sz w:val="24"/>
          <w:szCs w:val="24"/>
        </w:rPr>
        <w:t xml:space="preserve">Designing of </w:t>
      </w:r>
      <w:hyperlink r:id="rId7" w:history="1">
        <w:r w:rsidRPr="007E6C6C">
          <w:rPr>
            <w:rStyle w:val="Hyperlink"/>
            <w:b/>
            <w:sz w:val="24"/>
            <w:szCs w:val="24"/>
          </w:rPr>
          <w:t>IVPT</w:t>
        </w:r>
      </w:hyperlink>
      <w:r w:rsidRPr="004F2C17">
        <w:rPr>
          <w:sz w:val="24"/>
          <w:szCs w:val="24"/>
        </w:rPr>
        <w:t xml:space="preserve"> pilot and significant examinations </w:t>
      </w:r>
    </w:p>
    <w:p w14:paraId="7BA99016" w14:textId="77777777" w:rsidR="00C94CD6" w:rsidRPr="004F2C17" w:rsidRDefault="00C94CD6" w:rsidP="004F2C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2C17">
        <w:rPr>
          <w:sz w:val="24"/>
          <w:szCs w:val="24"/>
        </w:rPr>
        <w:t xml:space="preserve">Statistical examinations of information per USP &lt;1090&gt; </w:t>
      </w:r>
    </w:p>
    <w:p w14:paraId="33098CE9" w14:textId="77777777" w:rsidR="00C94CD6" w:rsidRPr="004F2C17" w:rsidRDefault="00C94CD6" w:rsidP="004F2C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2C17">
        <w:rPr>
          <w:sz w:val="24"/>
          <w:szCs w:val="24"/>
        </w:rPr>
        <w:t xml:space="preserve">Completed projects incorporate Q3 equivalence confirmation and tending to inadequacies that customers have gotten from the FDA concerning separating IVRT methods and deficient extent of development </w:t>
      </w:r>
    </w:p>
    <w:p w14:paraId="106F964C" w14:textId="77777777" w:rsidR="00C94CD6" w:rsidRPr="004F2C17" w:rsidRDefault="00C94CD6" w:rsidP="004F2C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2C17">
        <w:rPr>
          <w:sz w:val="24"/>
          <w:szCs w:val="24"/>
        </w:rPr>
        <w:t xml:space="preserve">Completed projects incorporate Topical and Ophthalmic products </w:t>
      </w:r>
    </w:p>
    <w:p w14:paraId="23E5984F" w14:textId="77777777" w:rsidR="00C94CD6" w:rsidRDefault="00C94CD6" w:rsidP="00C94CD6"/>
    <w:p w14:paraId="3A10D91B" w14:textId="77777777" w:rsidR="001074C4" w:rsidRDefault="00C94CD6" w:rsidP="00C94CD6">
      <w:r>
        <w:t xml:space="preserve">Get in touch with us to understand further development process. </w:t>
      </w:r>
    </w:p>
    <w:sectPr w:rsidR="00107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l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227F9"/>
    <w:multiLevelType w:val="hybridMultilevel"/>
    <w:tmpl w:val="5A8AD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B028E"/>
    <w:multiLevelType w:val="hybridMultilevel"/>
    <w:tmpl w:val="8782F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46BEF"/>
    <w:multiLevelType w:val="hybridMultilevel"/>
    <w:tmpl w:val="DA326C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C68D0"/>
    <w:multiLevelType w:val="hybridMultilevel"/>
    <w:tmpl w:val="69F44F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31ACD"/>
    <w:multiLevelType w:val="hybridMultilevel"/>
    <w:tmpl w:val="4EBAAD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67F30"/>
    <w:multiLevelType w:val="hybridMultilevel"/>
    <w:tmpl w:val="6F98A7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D6"/>
    <w:rsid w:val="001E3039"/>
    <w:rsid w:val="002E5651"/>
    <w:rsid w:val="004F2C17"/>
    <w:rsid w:val="0058344B"/>
    <w:rsid w:val="005D1363"/>
    <w:rsid w:val="005E7948"/>
    <w:rsid w:val="00652890"/>
    <w:rsid w:val="007E6C6C"/>
    <w:rsid w:val="00836E35"/>
    <w:rsid w:val="0099301B"/>
    <w:rsid w:val="009E093A"/>
    <w:rsid w:val="00AB1AC1"/>
    <w:rsid w:val="00C561CC"/>
    <w:rsid w:val="00C94CD6"/>
    <w:rsid w:val="00CE47FD"/>
    <w:rsid w:val="00F03014"/>
    <w:rsid w:val="00F16962"/>
    <w:rsid w:val="00F3486A"/>
    <w:rsid w:val="00F4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CDBF"/>
  <w15:chartTrackingRefBased/>
  <w15:docId w15:val="{5C87BE22-2351-4125-B1FB-C966797D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rguspharma.com/ivpt-skin-permeation-stud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guspharma.com/ivpt-skin-permeation-studies/" TargetMode="External"/><Relationship Id="rId5" Type="http://schemas.openxmlformats.org/officeDocument/2006/relationships/hyperlink" Target="https://www.terguspharma.com/ivpt-skin-permeation-stud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Sunny Pal</dc:creator>
  <cp:keywords/>
  <dc:description/>
  <cp:lastModifiedBy>webomindapps apps</cp:lastModifiedBy>
  <cp:revision>22</cp:revision>
  <dcterms:created xsi:type="dcterms:W3CDTF">2021-03-20T18:15:00Z</dcterms:created>
  <dcterms:modified xsi:type="dcterms:W3CDTF">2021-03-21T06:48:00Z</dcterms:modified>
</cp:coreProperties>
</file>