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27B9" w14:textId="77777777" w:rsidR="0032350E" w:rsidRPr="0032350E" w:rsidRDefault="0032350E" w:rsidP="003235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350E">
        <w:rPr>
          <w:rFonts w:ascii="Times New Roman" w:eastAsia="Times New Roman" w:hAnsi="Times New Roman" w:cs="Times New Roman"/>
          <w:b/>
          <w:bCs/>
          <w:kern w:val="36"/>
          <w:sz w:val="48"/>
          <w:szCs w:val="48"/>
          <w14:ligatures w14:val="none"/>
        </w:rPr>
        <w:t>CPRA CONSTRUCTIVE DENIAL LETTER</w:t>
      </w:r>
    </w:p>
    <w:p w14:paraId="47E9DD84"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Annotated Template for Public Records Advocates</w:t>
      </w:r>
      <w:r w:rsidRPr="0032350E">
        <w:rPr>
          <w:rFonts w:ascii="Times New Roman" w:eastAsia="Times New Roman" w:hAnsi="Times New Roman" w:cs="Times New Roman"/>
          <w:kern w:val="0"/>
          <w14:ligatures w14:val="none"/>
        </w:rPr>
        <w:t xml:space="preserve"> </w:t>
      </w:r>
      <w:r w:rsidRPr="0032350E">
        <w:rPr>
          <w:rFonts w:ascii="Times New Roman" w:eastAsia="Times New Roman" w:hAnsi="Times New Roman" w:cs="Times New Roman"/>
          <w:i/>
          <w:iCs/>
          <w:kern w:val="0"/>
          <w14:ligatures w14:val="none"/>
        </w:rPr>
        <w:t>California Public Records Act — Government Code § 7920 et seq.</w:t>
      </w:r>
    </w:p>
    <w:p w14:paraId="71E3EDB6"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1F1C5DBE">
          <v:rect id="_x0000_i1034" alt="" style="width:468pt;height:.05pt;mso-width-percent:0;mso-height-percent:0;mso-width-percent:0;mso-height-percent:0" o:hralign="center" o:hrstd="t" o:hr="t" fillcolor="#a0a0a0" stroked="f"/>
        </w:pict>
      </w:r>
    </w:p>
    <w:p w14:paraId="50235A60"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HOW TO USE THIS TEMPLATE</w:t>
      </w:r>
      <w:r w:rsidRPr="0032350E">
        <w:rPr>
          <w:rFonts w:ascii="Times New Roman" w:eastAsia="Times New Roman" w:hAnsi="Times New Roman" w:cs="Times New Roman"/>
          <w:kern w:val="0"/>
          <w14:ligatures w14:val="none"/>
        </w:rPr>
        <w:t xml:space="preserve"> This document has two layers: (1) the letter itself, and (2) annotations in block quotes explaining the legal purpose of each section. Complete all </w:t>
      </w:r>
      <w:r w:rsidRPr="0032350E">
        <w:rPr>
          <w:rFonts w:ascii="Courier New" w:eastAsia="Times New Roman" w:hAnsi="Courier New" w:cs="Courier New"/>
          <w:kern w:val="0"/>
          <w:sz w:val="20"/>
          <w:szCs w:val="20"/>
          <w14:ligatures w14:val="none"/>
        </w:rPr>
        <w:t>[bracketed fields]</w:t>
      </w:r>
      <w:r w:rsidRPr="0032350E">
        <w:rPr>
          <w:rFonts w:ascii="Times New Roman" w:eastAsia="Times New Roman" w:hAnsi="Times New Roman" w:cs="Times New Roman"/>
          <w:kern w:val="0"/>
          <w14:ligatures w14:val="none"/>
        </w:rPr>
        <w:t xml:space="preserve"> before sending. Remove the annotations — they are for your reference only.</w:t>
      </w:r>
    </w:p>
    <w:p w14:paraId="774EE711"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WHAT IS CONSTRUCTIVE DENIAL?</w:t>
      </w:r>
      <w:r w:rsidRPr="0032350E">
        <w:rPr>
          <w:rFonts w:ascii="Times New Roman" w:eastAsia="Times New Roman" w:hAnsi="Times New Roman" w:cs="Times New Roman"/>
          <w:kern w:val="0"/>
          <w14:ligatures w14:val="none"/>
        </w:rPr>
        <w:t xml:space="preserve"> California law requires agencies to respond to a CPRA request within 10 calendar days of receipt (Gov. Code § 7922.535). An agency may extend by 14 days for unusual circumstances but must notify you in writing. If the agency fails to produce records, formally deny with a cited exemption, or communicate within these windows, the failure is treated as a denial by operation of law — a "constructive denial." You may then petition the California Attorney General under Gov. Code § 7923.100, or seek a writ of mandate in Superior Court under Gov. Code § 7923.000.</w:t>
      </w:r>
    </w:p>
    <w:p w14:paraId="29038158"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331FE557">
          <v:rect id="_x0000_i1033" alt="" style="width:468pt;height:.05pt;mso-width-percent:0;mso-height-percent:0;mso-width-percent:0;mso-height-percent:0" o:hralign="center" o:hrstd="t" o:hr="t" fillcolor="#a0a0a0" stroked="f"/>
        </w:pict>
      </w:r>
    </w:p>
    <w:p w14:paraId="0685E4B7"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SECTION 1 — HEADER &amp; ADDRESSEE</w:t>
      </w:r>
    </w:p>
    <w:p w14:paraId="59A3E87E" w14:textId="1987CA3F"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Why this section matters</w:t>
      </w:r>
      <w:r w:rsidRPr="0032350E">
        <w:rPr>
          <w:rFonts w:ascii="Times New Roman" w:eastAsia="Times New Roman" w:hAnsi="Times New Roman" w:cs="Times New Roman"/>
          <w:kern w:val="0"/>
          <w14:ligatures w14:val="none"/>
        </w:rPr>
        <w:t xml:space="preserve"> The header creates the paper trail. Sending to a named individual (rather than a generic "Records Unit") reduces the agency's ability to claim the letter was misdirected. If you submit via an online portal, </w:t>
      </w:r>
      <w:r>
        <w:rPr>
          <w:rFonts w:ascii="Times New Roman" w:eastAsia="Times New Roman" w:hAnsi="Times New Roman" w:cs="Times New Roman"/>
          <w:kern w:val="0"/>
          <w14:ligatures w14:val="none"/>
        </w:rPr>
        <w:t xml:space="preserve">take a </w:t>
      </w:r>
      <w:r w:rsidRPr="0032350E">
        <w:rPr>
          <w:rFonts w:ascii="Times New Roman" w:eastAsia="Times New Roman" w:hAnsi="Times New Roman" w:cs="Times New Roman"/>
          <w:kern w:val="0"/>
          <w14:ligatures w14:val="none"/>
        </w:rPr>
        <w:t xml:space="preserve">screenshot </w:t>
      </w:r>
      <w:r>
        <w:rPr>
          <w:rFonts w:ascii="Times New Roman" w:eastAsia="Times New Roman" w:hAnsi="Times New Roman" w:cs="Times New Roman"/>
          <w:kern w:val="0"/>
          <w14:ligatures w14:val="none"/>
        </w:rPr>
        <w:t xml:space="preserve">of </w:t>
      </w:r>
      <w:r w:rsidRPr="0032350E">
        <w:rPr>
          <w:rFonts w:ascii="Times New Roman" w:eastAsia="Times New Roman" w:hAnsi="Times New Roman" w:cs="Times New Roman"/>
          <w:kern w:val="0"/>
          <w14:ligatures w14:val="none"/>
        </w:rPr>
        <w:t>the submission confirmation and reference it here.</w:t>
      </w:r>
    </w:p>
    <w:p w14:paraId="001B0378"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Date:</w:t>
      </w:r>
      <w:r w:rsidRPr="0032350E">
        <w:rPr>
          <w:rFonts w:ascii="Times New Roman" w:eastAsia="Times New Roman" w:hAnsi="Times New Roman" w:cs="Times New Roman"/>
          <w:kern w:val="0"/>
          <w14:ligatures w14:val="none"/>
        </w:rPr>
        <w:t xml:space="preserve"> </w:t>
      </w:r>
      <w:r w:rsidRPr="0032350E">
        <w:rPr>
          <w:rFonts w:ascii="Courier New" w:eastAsia="Times New Roman" w:hAnsi="Courier New" w:cs="Courier New"/>
          <w:kern w:val="0"/>
          <w:sz w:val="20"/>
          <w:szCs w:val="20"/>
          <w:highlight w:val="yellow"/>
          <w14:ligatures w14:val="none"/>
        </w:rPr>
        <w:t>[Date of this letter]</w:t>
      </w:r>
    </w:p>
    <w:p w14:paraId="2760AFF8"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Via: </w:t>
      </w:r>
      <w:r w:rsidRPr="0032350E">
        <w:rPr>
          <w:rFonts w:ascii="Courier New" w:eastAsia="Times New Roman" w:hAnsi="Courier New" w:cs="Courier New"/>
          <w:kern w:val="0"/>
          <w:sz w:val="20"/>
          <w:szCs w:val="20"/>
          <w:highlight w:val="yellow"/>
          <w14:ligatures w14:val="none"/>
        </w:rPr>
        <w:t>[Public Records Portal / Certified Mail / Email — select one]</w:t>
      </w:r>
    </w:p>
    <w:p w14:paraId="434B785D"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To:</w:t>
      </w:r>
      <w:r w:rsidRPr="0032350E">
        <w:rPr>
          <w:rFonts w:ascii="Times New Roman" w:eastAsia="Times New Roman" w:hAnsi="Times New Roman" w:cs="Times New Roman"/>
          <w:kern w:val="0"/>
          <w14:ligatures w14:val="none"/>
        </w:rPr>
        <w:t xml:space="preserve"> </w:t>
      </w:r>
      <w:r w:rsidRPr="0032350E">
        <w:rPr>
          <w:rFonts w:ascii="Courier New" w:eastAsia="Times New Roman" w:hAnsi="Courier New" w:cs="Courier New"/>
          <w:kern w:val="0"/>
          <w:sz w:val="20"/>
          <w:szCs w:val="20"/>
          <w:highlight w:val="yellow"/>
          <w14:ligatures w14:val="none"/>
        </w:rPr>
        <w:t>[Agency Name]</w:t>
      </w:r>
      <w:r w:rsidRPr="0032350E">
        <w:rPr>
          <w:rFonts w:ascii="Times New Roman" w:eastAsia="Times New Roman" w:hAnsi="Times New Roman" w:cs="Times New Roman"/>
          <w:kern w:val="0"/>
          <w:highlight w:val="yellow"/>
          <w14:ligatures w14:val="none"/>
        </w:rPr>
        <w:t xml:space="preserve"> </w:t>
      </w:r>
      <w:r w:rsidRPr="0032350E">
        <w:rPr>
          <w:rFonts w:ascii="Courier New" w:eastAsia="Times New Roman" w:hAnsi="Courier New" w:cs="Courier New"/>
          <w:kern w:val="0"/>
          <w:sz w:val="20"/>
          <w:szCs w:val="20"/>
          <w:highlight w:val="yellow"/>
          <w14:ligatures w14:val="none"/>
        </w:rPr>
        <w:t>[Records Coordinator / Custodian of Records — name if known]</w:t>
      </w:r>
      <w:r w:rsidRPr="0032350E">
        <w:rPr>
          <w:rFonts w:ascii="Times New Roman" w:eastAsia="Times New Roman" w:hAnsi="Times New Roman" w:cs="Times New Roman"/>
          <w:kern w:val="0"/>
          <w:highlight w:val="yellow"/>
          <w14:ligatures w14:val="none"/>
        </w:rPr>
        <w:t xml:space="preserve"> </w:t>
      </w:r>
      <w:r w:rsidRPr="0032350E">
        <w:rPr>
          <w:rFonts w:ascii="Courier New" w:eastAsia="Times New Roman" w:hAnsi="Courier New" w:cs="Courier New"/>
          <w:kern w:val="0"/>
          <w:sz w:val="20"/>
          <w:szCs w:val="20"/>
          <w:highlight w:val="yellow"/>
          <w14:ligatures w14:val="none"/>
        </w:rPr>
        <w:t>[Agency Address]</w:t>
      </w:r>
    </w:p>
    <w:p w14:paraId="415563A6"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Re:</w:t>
      </w:r>
      <w:r w:rsidRPr="0032350E">
        <w:rPr>
          <w:rFonts w:ascii="Times New Roman" w:eastAsia="Times New Roman" w:hAnsi="Times New Roman" w:cs="Times New Roman"/>
          <w:kern w:val="0"/>
          <w14:ligatures w14:val="none"/>
        </w:rPr>
        <w:t xml:space="preserve"> Constructive Denial — CPRA Request No. </w:t>
      </w:r>
      <w:r w:rsidRPr="0032350E">
        <w:rPr>
          <w:rFonts w:ascii="Courier New" w:eastAsia="Times New Roman" w:hAnsi="Courier New" w:cs="Courier New"/>
          <w:kern w:val="0"/>
          <w:sz w:val="20"/>
          <w:szCs w:val="20"/>
          <w:highlight w:val="yellow"/>
          <w14:ligatures w14:val="none"/>
        </w:rPr>
        <w:t>[Request Number]</w:t>
      </w:r>
      <w:r w:rsidRPr="0032350E">
        <w:rPr>
          <w:rFonts w:ascii="Times New Roman" w:eastAsia="Times New Roman" w:hAnsi="Times New Roman" w:cs="Times New Roman"/>
          <w:kern w:val="0"/>
          <w14:ligatures w14:val="none"/>
        </w:rPr>
        <w:t xml:space="preserve"> / Submitted </w:t>
      </w:r>
      <w:r w:rsidRPr="0032350E">
        <w:rPr>
          <w:rFonts w:ascii="Courier New" w:eastAsia="Times New Roman" w:hAnsi="Courier New" w:cs="Courier New"/>
          <w:kern w:val="0"/>
          <w:sz w:val="20"/>
          <w:szCs w:val="20"/>
          <w:highlight w:val="yellow"/>
          <w14:ligatures w14:val="none"/>
        </w:rPr>
        <w:t>[Original Submission Date]</w:t>
      </w:r>
    </w:p>
    <w:p w14:paraId="03DCA54F"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3C71DB5D">
          <v:rect id="_x0000_i1032" alt="" style="width:468pt;height:.05pt;mso-width-percent:0;mso-height-percent:0;mso-width-percent:0;mso-height-percent:0" o:hralign="center" o:hrstd="t" o:hr="t" fillcolor="#a0a0a0" stroked="f"/>
        </w:pict>
      </w:r>
    </w:p>
    <w:p w14:paraId="42BE7E8C"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SECTION 2 — OPENING &amp; REQUEST REFERENCE</w:t>
      </w:r>
    </w:p>
    <w:p w14:paraId="21099934"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lastRenderedPageBreak/>
        <w:t>ANNOTATION — Purpose of the opening</w:t>
      </w:r>
      <w:r w:rsidRPr="0032350E">
        <w:rPr>
          <w:rFonts w:ascii="Times New Roman" w:eastAsia="Times New Roman" w:hAnsi="Times New Roman" w:cs="Times New Roman"/>
          <w:kern w:val="0"/>
          <w14:ligatures w14:val="none"/>
        </w:rPr>
        <w:t xml:space="preserve"> State who you are, cite the specific request by number and date, and immediately reference the statutory deadline. This signals to the agency — and to any reviewing body later — that you know the law. Do not editorialize or express frustration. Flat, factual, administrative tone throughout.</w:t>
      </w:r>
    </w:p>
    <w:p w14:paraId="0847194A"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Dear </w:t>
      </w:r>
      <w:r w:rsidRPr="0032350E">
        <w:rPr>
          <w:rFonts w:ascii="Courier New" w:eastAsia="Times New Roman" w:hAnsi="Courier New" w:cs="Courier New"/>
          <w:kern w:val="0"/>
          <w:sz w:val="20"/>
          <w:szCs w:val="20"/>
          <w:highlight w:val="yellow"/>
          <w14:ligatures w14:val="none"/>
        </w:rPr>
        <w:t>[Name / Records Coordinator]</w:t>
      </w:r>
      <w:r w:rsidRPr="0032350E">
        <w:rPr>
          <w:rFonts w:ascii="Times New Roman" w:eastAsia="Times New Roman" w:hAnsi="Times New Roman" w:cs="Times New Roman"/>
          <w:kern w:val="0"/>
          <w14:ligatures w14:val="none"/>
        </w:rPr>
        <w:t>:</w:t>
      </w:r>
    </w:p>
    <w:p w14:paraId="2AA1E49B"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I am writing regarding California Public Records Act (CPRA) Request No. </w:t>
      </w:r>
      <w:r w:rsidRPr="0032350E">
        <w:rPr>
          <w:rFonts w:ascii="Courier New" w:eastAsia="Times New Roman" w:hAnsi="Courier New" w:cs="Courier New"/>
          <w:kern w:val="0"/>
          <w:sz w:val="20"/>
          <w:szCs w:val="20"/>
          <w:highlight w:val="yellow"/>
          <w14:ligatures w14:val="none"/>
        </w:rPr>
        <w:t>[Request Number]</w:t>
      </w:r>
      <w:r w:rsidRPr="0032350E">
        <w:rPr>
          <w:rFonts w:ascii="Times New Roman" w:eastAsia="Times New Roman" w:hAnsi="Times New Roman" w:cs="Times New Roman"/>
          <w:kern w:val="0"/>
          <w14:ligatures w14:val="none"/>
        </w:rPr>
        <w:t xml:space="preserve">, submitted to </w:t>
      </w:r>
      <w:r w:rsidRPr="0032350E">
        <w:rPr>
          <w:rFonts w:ascii="Courier New" w:eastAsia="Times New Roman" w:hAnsi="Courier New" w:cs="Courier New"/>
          <w:kern w:val="0"/>
          <w:sz w:val="20"/>
          <w:szCs w:val="20"/>
          <w:highlight w:val="yellow"/>
          <w14:ligatures w14:val="none"/>
        </w:rPr>
        <w:t>[Agency Name]</w:t>
      </w:r>
      <w:r w:rsidRPr="0032350E">
        <w:rPr>
          <w:rFonts w:ascii="Times New Roman" w:eastAsia="Times New Roman" w:hAnsi="Times New Roman" w:cs="Times New Roman"/>
          <w:kern w:val="0"/>
          <w14:ligatures w14:val="none"/>
        </w:rPr>
        <w:t xml:space="preserve"> on </w:t>
      </w:r>
      <w:r w:rsidRPr="0032350E">
        <w:rPr>
          <w:rFonts w:ascii="Courier New" w:eastAsia="Times New Roman" w:hAnsi="Courier New" w:cs="Courier New"/>
          <w:kern w:val="0"/>
          <w:sz w:val="20"/>
          <w:szCs w:val="20"/>
          <w:highlight w:val="yellow"/>
          <w14:ligatures w14:val="none"/>
        </w:rPr>
        <w:t>[Original Submission Date</w:t>
      </w:r>
      <w:r w:rsidRPr="0032350E">
        <w:rPr>
          <w:rFonts w:ascii="Courier New" w:eastAsia="Times New Roman" w:hAnsi="Courier New" w:cs="Courier New"/>
          <w:kern w:val="0"/>
          <w:sz w:val="20"/>
          <w:szCs w:val="20"/>
          <w14:ligatures w14:val="none"/>
        </w:rPr>
        <w:t>]</w:t>
      </w:r>
      <w:r w:rsidRPr="0032350E">
        <w:rPr>
          <w:rFonts w:ascii="Times New Roman" w:eastAsia="Times New Roman" w:hAnsi="Times New Roman" w:cs="Times New Roman"/>
          <w:kern w:val="0"/>
          <w14:ligatures w14:val="none"/>
        </w:rPr>
        <w:t xml:space="preserve"> and received by the agency on </w:t>
      </w:r>
      <w:r w:rsidRPr="0032350E">
        <w:rPr>
          <w:rFonts w:ascii="Courier New" w:eastAsia="Times New Roman" w:hAnsi="Courier New" w:cs="Courier New"/>
          <w:kern w:val="0"/>
          <w:sz w:val="20"/>
          <w:szCs w:val="20"/>
          <w:highlight w:val="yellow"/>
          <w14:ligatures w14:val="none"/>
        </w:rPr>
        <w:t>[Receipt Date]</w:t>
      </w:r>
      <w:r w:rsidRPr="0032350E">
        <w:rPr>
          <w:rFonts w:ascii="Times New Roman" w:eastAsia="Times New Roman" w:hAnsi="Times New Roman" w:cs="Times New Roman"/>
          <w:kern w:val="0"/>
          <w14:ligatures w14:val="none"/>
        </w:rPr>
        <w:t>.</w:t>
      </w:r>
    </w:p>
    <w:p w14:paraId="1FCBD50B"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The request sought the following categories of records:</w:t>
      </w:r>
    </w:p>
    <w:p w14:paraId="69B8CC74"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List your categories precisely</w:t>
      </w:r>
      <w:r w:rsidRPr="0032350E">
        <w:rPr>
          <w:rFonts w:ascii="Times New Roman" w:eastAsia="Times New Roman" w:hAnsi="Times New Roman" w:cs="Times New Roman"/>
          <w:kern w:val="0"/>
          <w14:ligatures w14:val="none"/>
        </w:rPr>
        <w:t xml:space="preserve"> Use the exact language from your original request. Vague references give the agency room to claim they searched for something narrower. If your original request used lettered categories (a), (b), (c), use the same labels here so the correspondence is unambiguously cross-referenced.</w:t>
      </w:r>
    </w:p>
    <w:p w14:paraId="71886697" w14:textId="77777777" w:rsidR="0032350E" w:rsidRPr="0032350E" w:rsidRDefault="0032350E" w:rsidP="0032350E">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t>[Category A — exact description from original request]</w:t>
      </w:r>
    </w:p>
    <w:p w14:paraId="18D490A4" w14:textId="77777777" w:rsidR="0032350E" w:rsidRPr="0032350E" w:rsidRDefault="0032350E" w:rsidP="0032350E">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t>[Category B — exact description]</w:t>
      </w:r>
    </w:p>
    <w:p w14:paraId="2DBD98B4" w14:textId="77777777" w:rsidR="0032350E" w:rsidRPr="0032350E" w:rsidRDefault="0032350E" w:rsidP="0032350E">
      <w:pPr>
        <w:numPr>
          <w:ilvl w:val="0"/>
          <w:numId w:val="1"/>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t>[Category C — exact description]</w:t>
      </w:r>
    </w:p>
    <w:p w14:paraId="5D9802E9"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06A1DC33">
          <v:rect id="_x0000_i1031" alt="" style="width:468pt;height:.05pt;mso-width-percent:0;mso-height-percent:0;mso-width-percent:0;mso-height-percent:0" o:hralign="center" o:hrstd="t" o:hr="t" fillcolor="#a0a0a0" stroked="f"/>
        </w:pict>
      </w:r>
    </w:p>
    <w:p w14:paraId="2BB49676"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SECTION 3 — TIMELINE OF AGENCY ACTIONS</w:t>
      </w:r>
    </w:p>
    <w:p w14:paraId="49FD0356"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Why the timeline is the core of your argument</w:t>
      </w:r>
      <w:r w:rsidRPr="0032350E">
        <w:rPr>
          <w:rFonts w:ascii="Times New Roman" w:eastAsia="Times New Roman" w:hAnsi="Times New Roman" w:cs="Times New Roman"/>
          <w:kern w:val="0"/>
          <w14:ligatures w14:val="none"/>
        </w:rPr>
        <w:t xml:space="preserve"> The timeline is your evidentiary foundation. Be precise and factual — no characterizations, no editorializing. If the agency produced some records (partial production), credit it explicitly. Courts and the AG's office will see that you are accurate and measured, which makes the unanswered categories more conspicuous by contrast.</w:t>
      </w:r>
    </w:p>
    <w:p w14:paraId="0A75C540"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The following is a chronological record of agency actions and non-actions on this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6928"/>
      </w:tblGrid>
      <w:tr w:rsidR="0032350E" w:rsidRPr="0032350E" w14:paraId="5473BFDD" w14:textId="77777777">
        <w:trPr>
          <w:tblHeader/>
          <w:tblCellSpacing w:w="15" w:type="dxa"/>
        </w:trPr>
        <w:tc>
          <w:tcPr>
            <w:tcW w:w="0" w:type="auto"/>
            <w:vAlign w:val="center"/>
            <w:hideMark/>
          </w:tcPr>
          <w:p w14:paraId="631CD4E8" w14:textId="77777777" w:rsidR="0032350E" w:rsidRPr="0032350E" w:rsidRDefault="0032350E" w:rsidP="0032350E">
            <w:pPr>
              <w:spacing w:after="0" w:line="240" w:lineRule="auto"/>
              <w:jc w:val="center"/>
              <w:rPr>
                <w:rFonts w:ascii="Times New Roman" w:eastAsia="Times New Roman" w:hAnsi="Times New Roman" w:cs="Times New Roman"/>
                <w:b/>
                <w:bCs/>
                <w:kern w:val="0"/>
                <w14:ligatures w14:val="none"/>
              </w:rPr>
            </w:pPr>
            <w:r w:rsidRPr="0032350E">
              <w:rPr>
                <w:rFonts w:ascii="Times New Roman" w:eastAsia="Times New Roman" w:hAnsi="Times New Roman" w:cs="Times New Roman"/>
                <w:b/>
                <w:bCs/>
                <w:kern w:val="0"/>
                <w14:ligatures w14:val="none"/>
              </w:rPr>
              <w:t>Date</w:t>
            </w:r>
          </w:p>
        </w:tc>
        <w:tc>
          <w:tcPr>
            <w:tcW w:w="0" w:type="auto"/>
            <w:vAlign w:val="center"/>
            <w:hideMark/>
          </w:tcPr>
          <w:p w14:paraId="6420AC02" w14:textId="77777777" w:rsidR="0032350E" w:rsidRPr="0032350E" w:rsidRDefault="0032350E" w:rsidP="0032350E">
            <w:pPr>
              <w:spacing w:after="0" w:line="240" w:lineRule="auto"/>
              <w:jc w:val="center"/>
              <w:rPr>
                <w:rFonts w:ascii="Times New Roman" w:eastAsia="Times New Roman" w:hAnsi="Times New Roman" w:cs="Times New Roman"/>
                <w:b/>
                <w:bCs/>
                <w:kern w:val="0"/>
                <w14:ligatures w14:val="none"/>
              </w:rPr>
            </w:pPr>
            <w:r w:rsidRPr="0032350E">
              <w:rPr>
                <w:rFonts w:ascii="Times New Roman" w:eastAsia="Times New Roman" w:hAnsi="Times New Roman" w:cs="Times New Roman"/>
                <w:b/>
                <w:bCs/>
                <w:kern w:val="0"/>
                <w14:ligatures w14:val="none"/>
              </w:rPr>
              <w:t>Event</w:t>
            </w:r>
          </w:p>
        </w:tc>
      </w:tr>
      <w:tr w:rsidR="0032350E" w:rsidRPr="0032350E" w14:paraId="26822FB7" w14:textId="77777777">
        <w:trPr>
          <w:tblCellSpacing w:w="15" w:type="dxa"/>
        </w:trPr>
        <w:tc>
          <w:tcPr>
            <w:tcW w:w="0" w:type="auto"/>
            <w:vAlign w:val="center"/>
            <w:hideMark/>
          </w:tcPr>
          <w:p w14:paraId="779453C7" w14:textId="77777777" w:rsidR="0032350E" w:rsidRPr="0032350E" w:rsidRDefault="0032350E" w:rsidP="0032350E">
            <w:pPr>
              <w:spacing w:after="0"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t>[Submission Date]</w:t>
            </w:r>
          </w:p>
        </w:tc>
        <w:tc>
          <w:tcPr>
            <w:tcW w:w="0" w:type="auto"/>
            <w:vAlign w:val="center"/>
            <w:hideMark/>
          </w:tcPr>
          <w:p w14:paraId="105EF8F9"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CPRA request submitted via </w:t>
            </w:r>
            <w:r w:rsidRPr="0032350E">
              <w:rPr>
                <w:rFonts w:ascii="Courier New" w:eastAsia="Times New Roman" w:hAnsi="Courier New" w:cs="Courier New"/>
                <w:kern w:val="0"/>
                <w:sz w:val="20"/>
                <w:szCs w:val="20"/>
                <w:highlight w:val="yellow"/>
                <w14:ligatures w14:val="none"/>
              </w:rPr>
              <w:t>[portal / mail / email]</w:t>
            </w:r>
          </w:p>
        </w:tc>
      </w:tr>
      <w:tr w:rsidR="0032350E" w:rsidRPr="0032350E" w14:paraId="5D3A34DF" w14:textId="77777777">
        <w:trPr>
          <w:tblCellSpacing w:w="15" w:type="dxa"/>
        </w:trPr>
        <w:tc>
          <w:tcPr>
            <w:tcW w:w="0" w:type="auto"/>
            <w:vAlign w:val="center"/>
            <w:hideMark/>
          </w:tcPr>
          <w:p w14:paraId="6B6D4F5A" w14:textId="77777777" w:rsidR="0032350E" w:rsidRPr="0032350E" w:rsidRDefault="0032350E" w:rsidP="0032350E">
            <w:pPr>
              <w:spacing w:after="0"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t>[Receipt Date]</w:t>
            </w:r>
          </w:p>
        </w:tc>
        <w:tc>
          <w:tcPr>
            <w:tcW w:w="0" w:type="auto"/>
            <w:vAlign w:val="center"/>
            <w:hideMark/>
          </w:tcPr>
          <w:p w14:paraId="5B8A21A9"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Agency confirmed receipt. 10-day statutory deadline: </w:t>
            </w:r>
            <w:r w:rsidRPr="0032350E">
              <w:rPr>
                <w:rFonts w:ascii="Courier New" w:eastAsia="Times New Roman" w:hAnsi="Courier New" w:cs="Courier New"/>
                <w:kern w:val="0"/>
                <w:sz w:val="20"/>
                <w:szCs w:val="20"/>
                <w:highlight w:val="yellow"/>
                <w14:ligatures w14:val="none"/>
              </w:rPr>
              <w:t>[Receipt Date + 10 calendar days]</w:t>
            </w:r>
          </w:p>
        </w:tc>
      </w:tr>
      <w:tr w:rsidR="0032350E" w:rsidRPr="0032350E" w14:paraId="0D176B91" w14:textId="77777777">
        <w:trPr>
          <w:tblCellSpacing w:w="15" w:type="dxa"/>
        </w:trPr>
        <w:tc>
          <w:tcPr>
            <w:tcW w:w="0" w:type="auto"/>
            <w:vAlign w:val="center"/>
            <w:hideMark/>
          </w:tcPr>
          <w:p w14:paraId="1D0B3F1B" w14:textId="77777777" w:rsidR="0032350E" w:rsidRPr="0032350E" w:rsidRDefault="0032350E" w:rsidP="0032350E">
            <w:pPr>
              <w:spacing w:after="0"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t>[Extension Date, if any]</w:t>
            </w:r>
          </w:p>
        </w:tc>
        <w:tc>
          <w:tcPr>
            <w:tcW w:w="0" w:type="auto"/>
            <w:vAlign w:val="center"/>
            <w:hideMark/>
          </w:tcPr>
          <w:p w14:paraId="5380BE75"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Agency invoked 14-day extension under Gov. Code § 7922.535(b). Extended deadline: </w:t>
            </w:r>
            <w:r w:rsidRPr="0032350E">
              <w:rPr>
                <w:rFonts w:ascii="Courier New" w:eastAsia="Times New Roman" w:hAnsi="Courier New" w:cs="Courier New"/>
                <w:kern w:val="0"/>
                <w:sz w:val="20"/>
                <w:szCs w:val="20"/>
                <w:highlight w:val="yellow"/>
                <w14:ligatures w14:val="none"/>
              </w:rPr>
              <w:t>[Extended Deadline Date]</w:t>
            </w:r>
            <w:r w:rsidRPr="0032350E">
              <w:rPr>
                <w:rFonts w:ascii="Times New Roman" w:eastAsia="Times New Roman" w:hAnsi="Times New Roman" w:cs="Times New Roman"/>
                <w:kern w:val="0"/>
                <w14:ligatures w14:val="none"/>
              </w:rPr>
              <w:t xml:space="preserve">. </w:t>
            </w:r>
            <w:r w:rsidRPr="0032350E">
              <w:rPr>
                <w:rFonts w:ascii="Times New Roman" w:eastAsia="Times New Roman" w:hAnsi="Times New Roman" w:cs="Times New Roman"/>
                <w:i/>
                <w:iCs/>
                <w:kern w:val="0"/>
                <w14:ligatures w14:val="none"/>
              </w:rPr>
              <w:t>Delete row if no extension.</w:t>
            </w:r>
          </w:p>
        </w:tc>
      </w:tr>
      <w:tr w:rsidR="0032350E" w:rsidRPr="0032350E" w14:paraId="0F807E0B" w14:textId="77777777">
        <w:trPr>
          <w:tblCellSpacing w:w="15" w:type="dxa"/>
        </w:trPr>
        <w:tc>
          <w:tcPr>
            <w:tcW w:w="0" w:type="auto"/>
            <w:vAlign w:val="center"/>
            <w:hideMark/>
          </w:tcPr>
          <w:p w14:paraId="56866414" w14:textId="77777777" w:rsidR="0032350E" w:rsidRPr="0032350E" w:rsidRDefault="0032350E" w:rsidP="0032350E">
            <w:pPr>
              <w:spacing w:after="0"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t>[Partial Production Date, if any]</w:t>
            </w:r>
          </w:p>
        </w:tc>
        <w:tc>
          <w:tcPr>
            <w:tcW w:w="0" w:type="auto"/>
            <w:vAlign w:val="center"/>
            <w:hideMark/>
          </w:tcPr>
          <w:p w14:paraId="7CBA3B43"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Agency produced </w:t>
            </w:r>
            <w:r w:rsidRPr="0032350E">
              <w:rPr>
                <w:rFonts w:ascii="Courier New" w:eastAsia="Times New Roman" w:hAnsi="Courier New" w:cs="Courier New"/>
                <w:kern w:val="0"/>
                <w:sz w:val="20"/>
                <w:szCs w:val="20"/>
                <w:highlight w:val="yellow"/>
                <w14:ligatures w14:val="none"/>
              </w:rPr>
              <w:t>[describe what was produced]</w:t>
            </w:r>
            <w:r w:rsidRPr="0032350E">
              <w:rPr>
                <w:rFonts w:ascii="Times New Roman" w:eastAsia="Times New Roman" w:hAnsi="Times New Roman" w:cs="Times New Roman"/>
                <w:kern w:val="0"/>
                <w14:ligatures w14:val="none"/>
              </w:rPr>
              <w:t xml:space="preserve">. Categories </w:t>
            </w:r>
            <w:r w:rsidRPr="0032350E">
              <w:rPr>
                <w:rFonts w:ascii="Courier New" w:eastAsia="Times New Roman" w:hAnsi="Courier New" w:cs="Courier New"/>
                <w:kern w:val="0"/>
                <w:sz w:val="20"/>
                <w:szCs w:val="20"/>
                <w:highlight w:val="yellow"/>
                <w14:ligatures w14:val="none"/>
              </w:rPr>
              <w:t>[A, B, C]</w:t>
            </w:r>
            <w:r w:rsidRPr="0032350E">
              <w:rPr>
                <w:rFonts w:ascii="Times New Roman" w:eastAsia="Times New Roman" w:hAnsi="Times New Roman" w:cs="Times New Roman"/>
                <w:kern w:val="0"/>
                <w14:ligatures w14:val="none"/>
              </w:rPr>
              <w:t xml:space="preserve"> received no response, no production, and no denial. </w:t>
            </w:r>
            <w:r w:rsidRPr="0032350E">
              <w:rPr>
                <w:rFonts w:ascii="Times New Roman" w:eastAsia="Times New Roman" w:hAnsi="Times New Roman" w:cs="Times New Roman"/>
                <w:i/>
                <w:iCs/>
                <w:kern w:val="0"/>
                <w14:ligatures w14:val="none"/>
              </w:rPr>
              <w:t>Delete row if nothing produced.</w:t>
            </w:r>
          </w:p>
        </w:tc>
      </w:tr>
      <w:tr w:rsidR="0032350E" w:rsidRPr="0032350E" w14:paraId="685E695F" w14:textId="77777777">
        <w:trPr>
          <w:tblCellSpacing w:w="15" w:type="dxa"/>
        </w:trPr>
        <w:tc>
          <w:tcPr>
            <w:tcW w:w="0" w:type="auto"/>
            <w:vAlign w:val="center"/>
            <w:hideMark/>
          </w:tcPr>
          <w:p w14:paraId="4F70137C" w14:textId="77777777" w:rsidR="0032350E" w:rsidRPr="0032350E" w:rsidRDefault="0032350E" w:rsidP="0032350E">
            <w:pPr>
              <w:spacing w:after="0" w:line="240" w:lineRule="auto"/>
              <w:rPr>
                <w:rFonts w:ascii="Times New Roman" w:eastAsia="Times New Roman" w:hAnsi="Times New Roman" w:cs="Times New Roman"/>
                <w:kern w:val="0"/>
                <w:highlight w:val="yellow"/>
                <w14:ligatures w14:val="none"/>
              </w:rPr>
            </w:pPr>
            <w:r w:rsidRPr="0032350E">
              <w:rPr>
                <w:rFonts w:ascii="Courier New" w:eastAsia="Times New Roman" w:hAnsi="Courier New" w:cs="Courier New"/>
                <w:kern w:val="0"/>
                <w:sz w:val="20"/>
                <w:szCs w:val="20"/>
                <w:highlight w:val="yellow"/>
                <w14:ligatures w14:val="none"/>
              </w:rPr>
              <w:lastRenderedPageBreak/>
              <w:t>[Today's Date]</w:t>
            </w:r>
          </w:p>
        </w:tc>
        <w:tc>
          <w:tcPr>
            <w:tcW w:w="0" w:type="auto"/>
            <w:vAlign w:val="center"/>
            <w:hideMark/>
          </w:tcPr>
          <w:p w14:paraId="19A84B53"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Date of this letter. </w:t>
            </w:r>
            <w:r w:rsidRPr="0032350E">
              <w:rPr>
                <w:rFonts w:ascii="Courier New" w:eastAsia="Times New Roman" w:hAnsi="Courier New" w:cs="Courier New"/>
                <w:kern w:val="0"/>
                <w:sz w:val="20"/>
                <w:szCs w:val="20"/>
                <w:highlight w:val="yellow"/>
                <w14:ligatures w14:val="none"/>
              </w:rPr>
              <w:t>[X]</w:t>
            </w:r>
            <w:r w:rsidRPr="0032350E">
              <w:rPr>
                <w:rFonts w:ascii="Times New Roman" w:eastAsia="Times New Roman" w:hAnsi="Times New Roman" w:cs="Times New Roman"/>
                <w:kern w:val="0"/>
                <w14:ligatures w14:val="none"/>
              </w:rPr>
              <w:t xml:space="preserve"> calendar days have elapsed since the extended deadline. Categories </w:t>
            </w:r>
            <w:r w:rsidRPr="0032350E">
              <w:rPr>
                <w:rFonts w:ascii="Courier New" w:eastAsia="Times New Roman" w:hAnsi="Courier New" w:cs="Courier New"/>
                <w:kern w:val="0"/>
                <w:sz w:val="20"/>
                <w:szCs w:val="20"/>
                <w:highlight w:val="yellow"/>
                <w14:ligatures w14:val="none"/>
              </w:rPr>
              <w:t>[A, B, C]</w:t>
            </w:r>
            <w:r w:rsidRPr="0032350E">
              <w:rPr>
                <w:rFonts w:ascii="Times New Roman" w:eastAsia="Times New Roman" w:hAnsi="Times New Roman" w:cs="Times New Roman"/>
                <w:kern w:val="0"/>
                <w14:ligatures w14:val="none"/>
              </w:rPr>
              <w:t xml:space="preserve"> remain unresolved.</w:t>
            </w:r>
          </w:p>
        </w:tc>
      </w:tr>
    </w:tbl>
    <w:p w14:paraId="08FD4086"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275AF521">
          <v:rect id="_x0000_i1030" alt="" style="width:468pt;height:.05pt;mso-width-percent:0;mso-height-percent:0;mso-width-percent:0;mso-height-percent:0" o:hralign="center" o:hrstd="t" o:hr="t" fillcolor="#a0a0a0" stroked="f"/>
        </w:pict>
      </w:r>
    </w:p>
    <w:p w14:paraId="76A11471"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SECTION 4 — LEGAL STANDARD</w:t>
      </w:r>
    </w:p>
    <w:p w14:paraId="1C9A22FF"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Cite the statute, not just the concept</w:t>
      </w:r>
      <w:r w:rsidRPr="0032350E">
        <w:rPr>
          <w:rFonts w:ascii="Times New Roman" w:eastAsia="Times New Roman" w:hAnsi="Times New Roman" w:cs="Times New Roman"/>
          <w:kern w:val="0"/>
          <w14:ligatures w14:val="none"/>
        </w:rPr>
        <w:t xml:space="preserve"> Name the specific code sections. Gov. Code § 7922.535 is the determination deadline. § 7923.100 is the AG petition authority. § 7922.525 is the exemption specificity requirement — cite it if the agency used a vague or inapplicable exemption. You do not need to argue case law here; the statute is sufficient.</w:t>
      </w:r>
    </w:p>
    <w:p w14:paraId="603D527F"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Under Government Code § 7922.535, </w:t>
      </w:r>
      <w:r w:rsidRPr="0032350E">
        <w:rPr>
          <w:rFonts w:ascii="Courier New" w:eastAsia="Times New Roman" w:hAnsi="Courier New" w:cs="Courier New"/>
          <w:kern w:val="0"/>
          <w:sz w:val="20"/>
          <w:szCs w:val="20"/>
          <w:highlight w:val="yellow"/>
          <w14:ligatures w14:val="none"/>
        </w:rPr>
        <w:t>[Agency Name]</w:t>
      </w:r>
      <w:r w:rsidRPr="0032350E">
        <w:rPr>
          <w:rFonts w:ascii="Times New Roman" w:eastAsia="Times New Roman" w:hAnsi="Times New Roman" w:cs="Times New Roman"/>
          <w:kern w:val="0"/>
          <w14:ligatures w14:val="none"/>
        </w:rPr>
        <w:t xml:space="preserve"> was required to determine whether responsive records exist and to communicate that determination within 10 calendar days of receipt, or within the extended deadline if a valid extension was properly invoked in writing.</w:t>
      </w:r>
    </w:p>
    <w:p w14:paraId="2B92C561"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No such determination has been communicated for Categories </w:t>
      </w:r>
      <w:r w:rsidRPr="0032350E">
        <w:rPr>
          <w:rFonts w:ascii="Courier New" w:eastAsia="Times New Roman" w:hAnsi="Courier New" w:cs="Courier New"/>
          <w:kern w:val="0"/>
          <w:sz w:val="20"/>
          <w:szCs w:val="20"/>
          <w:highlight w:val="yellow"/>
          <w14:ligatures w14:val="none"/>
        </w:rPr>
        <w:t>[A, B, C]</w:t>
      </w:r>
      <w:r w:rsidRPr="0032350E">
        <w:rPr>
          <w:rFonts w:ascii="Times New Roman" w:eastAsia="Times New Roman" w:hAnsi="Times New Roman" w:cs="Times New Roman"/>
          <w:kern w:val="0"/>
          <w14:ligatures w14:val="none"/>
        </w:rPr>
        <w:t>. The agency's failure to respond within the statutory period constitutes a constructive denial under California law, entitling the requester to seek relief.</w:t>
      </w:r>
    </w:p>
    <w:p w14:paraId="38AADBA7"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To the extent any records are being withheld, Government Code § 7922.525 requires the agency to identify the specific statutory exemption claimed, describe the nature of the withheld information, and state whether non-exempt portions can be segregated and produced. A blanket or generalized exemption claim does not satisfy this requirement.</w:t>
      </w:r>
    </w:p>
    <w:p w14:paraId="0DB95F1A"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If they cited an exemption that doesn't apply</w:t>
      </w:r>
      <w:r w:rsidRPr="0032350E">
        <w:rPr>
          <w:rFonts w:ascii="Times New Roman" w:eastAsia="Times New Roman" w:hAnsi="Times New Roman" w:cs="Times New Roman"/>
          <w:kern w:val="0"/>
          <w14:ligatures w14:val="none"/>
        </w:rPr>
        <w:t xml:space="preserve"> Insert a paragraph here identifying the specific exemption the agency cited and explaining why it is inapplicable. For example: "The agency cited Civil Code § 1798.90.55(b) (SB 34) to withhold administrative governance records. That statute protects detection data — not policy documents, contracts, or access-control records. Its citation here is a misapplication." Name the statute they used, name what it actually covers, and state the mismatch plainly. Then delete this annotation.</w:t>
      </w:r>
    </w:p>
    <w:p w14:paraId="1B821C39"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7194546E">
          <v:rect id="_x0000_i1029" alt="" style="width:468pt;height:.05pt;mso-width-percent:0;mso-height-percent:0;mso-width-percent:0;mso-height-percent:0" o:hralign="center" o:hrstd="t" o:hr="t" fillcolor="#a0a0a0" stroked="f"/>
        </w:pict>
      </w:r>
    </w:p>
    <w:p w14:paraId="69817DE3"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SECTION 5 — DEMAND &amp; FINAL WINDOW</w:t>
      </w:r>
    </w:p>
    <w:p w14:paraId="27C75CBC"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Give them a specific, short deadline — then hold it</w:t>
      </w:r>
      <w:r w:rsidRPr="0032350E">
        <w:rPr>
          <w:rFonts w:ascii="Times New Roman" w:eastAsia="Times New Roman" w:hAnsi="Times New Roman" w:cs="Times New Roman"/>
          <w:kern w:val="0"/>
          <w14:ligatures w14:val="none"/>
        </w:rPr>
        <w:t xml:space="preserve"> 5 to 7 calendar days is standard. It's short enough to signal seriousness, long enough that no reviewing body can characterize it as unreasonable. State the deadline date explicitly — don't just say "7 days," say "by [specific date]." A vague deadline is unenforceable as a record. If you give this window and they still don't respond, you have a clean, documented predicate for the AG petition.</w:t>
      </w:r>
    </w:p>
    <w:p w14:paraId="263D6806"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I request that </w:t>
      </w:r>
      <w:r w:rsidRPr="0032350E">
        <w:rPr>
          <w:rFonts w:ascii="Courier New" w:eastAsia="Times New Roman" w:hAnsi="Courier New" w:cs="Courier New"/>
          <w:kern w:val="0"/>
          <w:sz w:val="20"/>
          <w:szCs w:val="20"/>
          <w:highlight w:val="yellow"/>
          <w14:ligatures w14:val="none"/>
        </w:rPr>
        <w:t>[Agency Name]</w:t>
      </w:r>
      <w:r w:rsidRPr="0032350E">
        <w:rPr>
          <w:rFonts w:ascii="Times New Roman" w:eastAsia="Times New Roman" w:hAnsi="Times New Roman" w:cs="Times New Roman"/>
          <w:kern w:val="0"/>
          <w14:ligatures w14:val="none"/>
        </w:rPr>
        <w:t xml:space="preserve"> produce the outstanding records for Categories </w:t>
      </w:r>
      <w:r w:rsidRPr="0032350E">
        <w:rPr>
          <w:rFonts w:ascii="Courier New" w:eastAsia="Times New Roman" w:hAnsi="Courier New" w:cs="Courier New"/>
          <w:kern w:val="0"/>
          <w:sz w:val="20"/>
          <w:szCs w:val="20"/>
          <w:highlight w:val="yellow"/>
          <w14:ligatures w14:val="none"/>
        </w:rPr>
        <w:t>[A, B, C]</w:t>
      </w:r>
      <w:r w:rsidRPr="0032350E">
        <w:rPr>
          <w:rFonts w:ascii="Times New Roman" w:eastAsia="Times New Roman" w:hAnsi="Times New Roman" w:cs="Times New Roman"/>
          <w:kern w:val="0"/>
          <w14:ligatures w14:val="none"/>
        </w:rPr>
        <w:t xml:space="preserve">, or issue a formal written denial identifying the specific statutory exemption for each withheld </w:t>
      </w:r>
      <w:r w:rsidRPr="0032350E">
        <w:rPr>
          <w:rFonts w:ascii="Times New Roman" w:eastAsia="Times New Roman" w:hAnsi="Times New Roman" w:cs="Times New Roman"/>
          <w:kern w:val="0"/>
          <w14:ligatures w14:val="none"/>
        </w:rPr>
        <w:lastRenderedPageBreak/>
        <w:t xml:space="preserve">category, no later than </w:t>
      </w:r>
      <w:r w:rsidRPr="0032350E">
        <w:rPr>
          <w:rFonts w:ascii="Courier New" w:eastAsia="Times New Roman" w:hAnsi="Courier New" w:cs="Courier New"/>
          <w:kern w:val="0"/>
          <w:sz w:val="20"/>
          <w:szCs w:val="20"/>
          <w:highlight w:val="yellow"/>
          <w14:ligatures w14:val="none"/>
        </w:rPr>
        <w:t>[Final Deadline Date — recommend 5–7 calendar days from today]</w:t>
      </w:r>
      <w:r w:rsidRPr="0032350E">
        <w:rPr>
          <w:rFonts w:ascii="Times New Roman" w:eastAsia="Times New Roman" w:hAnsi="Times New Roman" w:cs="Times New Roman"/>
          <w:kern w:val="0"/>
          <w14:ligatures w14:val="none"/>
        </w:rPr>
        <w:t>.</w:t>
      </w:r>
    </w:p>
    <w:p w14:paraId="1CCC6BD9"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If the agency's position is that no responsive records exist for any category, I request written confirmation of that determination, as required by Government Code § 7922.530.</w:t>
      </w:r>
    </w:p>
    <w:p w14:paraId="69522A1D"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The no-records option</w:t>
      </w:r>
      <w:r w:rsidRPr="0032350E">
        <w:rPr>
          <w:rFonts w:ascii="Times New Roman" w:eastAsia="Times New Roman" w:hAnsi="Times New Roman" w:cs="Times New Roman"/>
          <w:kern w:val="0"/>
          <w14:ligatures w14:val="none"/>
        </w:rPr>
        <w:t xml:space="preserve"> Always include this. If they say nothing exists, that is itself a significant finding — it means the agency is admitting it has no documentation for whatever the category covered. That finding belongs in your advocacy record. If they later produce records that contradict a no-records claim, that's a more serious problem for them. Either way, you win by asking.</w:t>
      </w:r>
    </w:p>
    <w:p w14:paraId="102682EA"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7F4E4E85">
          <v:rect id="_x0000_i1028" alt="" style="width:468pt;height:.05pt;mso-width-percent:0;mso-height-percent:0;mso-width-percent:0;mso-height-percent:0" o:hralign="center" o:hrstd="t" o:hr="t" fillcolor="#a0a0a0" stroked="f"/>
        </w:pict>
      </w:r>
    </w:p>
    <w:p w14:paraId="3078FF75"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SECTION 6 — NOTICE OF INTENT TO PETITION AG</w:t>
      </w:r>
    </w:p>
    <w:p w14:paraId="2CED0B0A"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The AG petition: what it is and why it matters</w:t>
      </w:r>
      <w:r w:rsidRPr="0032350E">
        <w:rPr>
          <w:rFonts w:ascii="Times New Roman" w:eastAsia="Times New Roman" w:hAnsi="Times New Roman" w:cs="Times New Roman"/>
          <w:kern w:val="0"/>
          <w14:ligatures w14:val="none"/>
        </w:rPr>
        <w:t xml:space="preserve"> Government Code § 7923.100 authorizes any person denied access to public records to submit a written complaint to the California Attorney General. The AG may investigate and issue a written determination. Filing is free and requires no attorney. It does three things: (1) creates a state-level record of non-compliance; (2) raises institutional stakes — the agency's legal counsel typically becomes involved; and (3) a pending AG complaint is relevant context for any subsequent public presentation or legal proceeding. This section is notice of intent — you don't need to file before sending this letter.</w:t>
      </w:r>
    </w:p>
    <w:p w14:paraId="1CCD48D0"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If </w:t>
      </w:r>
      <w:r w:rsidRPr="0032350E">
        <w:rPr>
          <w:rFonts w:ascii="Courier New" w:eastAsia="Times New Roman" w:hAnsi="Courier New" w:cs="Courier New"/>
          <w:kern w:val="0"/>
          <w:sz w:val="20"/>
          <w:szCs w:val="20"/>
          <w:highlight w:val="yellow"/>
          <w14:ligatures w14:val="none"/>
        </w:rPr>
        <w:t>[Agency Name]</w:t>
      </w:r>
      <w:r w:rsidRPr="0032350E">
        <w:rPr>
          <w:rFonts w:ascii="Times New Roman" w:eastAsia="Times New Roman" w:hAnsi="Times New Roman" w:cs="Times New Roman"/>
          <w:kern w:val="0"/>
          <w14:ligatures w14:val="none"/>
        </w:rPr>
        <w:t xml:space="preserve"> does not produce the outstanding records or issue a legally sufficient written denial by the date specified above, I intend to file a written complaint with the California Attorney General's Office pursuant to Government Code § 7923.100.</w:t>
      </w:r>
    </w:p>
    <w:p w14:paraId="0A6F26A9"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I also reserve all rights under Government Code § 7923.000 to petition the Superior Court for a writ of mandate compelling disclosure, and to seek an award of court costs and reasonable attorney's fees under Government Code § 7923.115 in the event of litigation.</w:t>
      </w:r>
    </w:p>
    <w:p w14:paraId="652AE5BA"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Attorney's fees: mention it even without an attorney</w:t>
      </w:r>
      <w:r w:rsidRPr="0032350E">
        <w:rPr>
          <w:rFonts w:ascii="Times New Roman" w:eastAsia="Times New Roman" w:hAnsi="Times New Roman" w:cs="Times New Roman"/>
          <w:kern w:val="0"/>
          <w14:ligatures w14:val="none"/>
        </w:rPr>
        <w:t xml:space="preserve"> Under § 7923.115, a court may award attorney's fees and costs to a prevailing requester. This accurately states the law and signals that litigation has financial consequences for the agency. If you later retain an attorney, this language is already in the record. If you proceed pro se, you can still recover costs.</w:t>
      </w:r>
    </w:p>
    <w:p w14:paraId="39BC0396"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4189D865">
          <v:rect id="_x0000_i1027" alt="" style="width:468pt;height:.05pt;mso-width-percent:0;mso-height-percent:0;mso-width-percent:0;mso-height-percent:0" o:hralign="center" o:hrstd="t" o:hr="t" fillcolor="#a0a0a0" stroked="f"/>
        </w:pict>
      </w:r>
    </w:p>
    <w:p w14:paraId="7CE2645C"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SECTION 7 — CLOSING</w:t>
      </w:r>
    </w:p>
    <w:p w14:paraId="14311995" w14:textId="7836B090"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b/>
          <w:bCs/>
          <w:kern w:val="0"/>
          <w14:ligatures w14:val="none"/>
        </w:rPr>
        <w:t>ANNOTATION — End neutrally — leave the door open</w:t>
      </w:r>
      <w:r w:rsidRPr="0032350E">
        <w:rPr>
          <w:rFonts w:ascii="Times New Roman" w:eastAsia="Times New Roman" w:hAnsi="Times New Roman" w:cs="Times New Roman"/>
          <w:kern w:val="0"/>
          <w14:ligatures w14:val="none"/>
        </w:rPr>
        <w:t xml:space="preserve"> This signals that you are a procedurally literate requester who would prefer cooperation over escalation. It actually </w:t>
      </w:r>
      <w:r w:rsidRPr="0032350E">
        <w:rPr>
          <w:rFonts w:ascii="Times New Roman" w:eastAsia="Times New Roman" w:hAnsi="Times New Roman" w:cs="Times New Roman"/>
          <w:kern w:val="0"/>
          <w14:ligatures w14:val="none"/>
        </w:rPr>
        <w:lastRenderedPageBreak/>
        <w:t xml:space="preserve">increases pressure because it makes non-response </w:t>
      </w:r>
      <w:r>
        <w:rPr>
          <w:rFonts w:ascii="Times New Roman" w:eastAsia="Times New Roman" w:hAnsi="Times New Roman" w:cs="Times New Roman"/>
          <w:kern w:val="0"/>
          <w14:ligatures w14:val="none"/>
        </w:rPr>
        <w:t>appear</w:t>
      </w:r>
      <w:r w:rsidRPr="0032350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to b</w:t>
      </w:r>
      <w:r w:rsidRPr="0032350E">
        <w:rPr>
          <w:rFonts w:ascii="Times New Roman" w:eastAsia="Times New Roman" w:hAnsi="Times New Roman" w:cs="Times New Roman"/>
          <w:kern w:val="0"/>
          <w14:ligatures w14:val="none"/>
        </w:rPr>
        <w:t>e a deliberate choice. Do not thank them for their time. Do not apologize. Neutral and direct.</w:t>
      </w:r>
    </w:p>
    <w:p w14:paraId="3AAF1BDB"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 xml:space="preserve">I remain willing to discuss the scope of any outstanding category if there is a genuine question about what records are being sought. I can be reached at </w:t>
      </w:r>
      <w:r w:rsidRPr="0032350E">
        <w:rPr>
          <w:rFonts w:ascii="Courier New" w:eastAsia="Times New Roman" w:hAnsi="Courier New" w:cs="Courier New"/>
          <w:kern w:val="0"/>
          <w:sz w:val="20"/>
          <w:szCs w:val="20"/>
          <w:highlight w:val="yellow"/>
          <w14:ligatures w14:val="none"/>
        </w:rPr>
        <w:t>[your email address]</w:t>
      </w:r>
      <w:r w:rsidRPr="0032350E">
        <w:rPr>
          <w:rFonts w:ascii="Times New Roman" w:eastAsia="Times New Roman" w:hAnsi="Times New Roman" w:cs="Times New Roman"/>
          <w:kern w:val="0"/>
          <w14:ligatures w14:val="none"/>
        </w:rPr>
        <w:t>.</w:t>
      </w:r>
    </w:p>
    <w:p w14:paraId="6ACC7945"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Respectfully,</w:t>
      </w:r>
    </w:p>
    <w:p w14:paraId="41554EAB"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Courier New" w:eastAsia="Times New Roman" w:hAnsi="Courier New" w:cs="Courier New"/>
          <w:kern w:val="0"/>
          <w:sz w:val="20"/>
          <w:szCs w:val="20"/>
          <w:highlight w:val="yellow"/>
          <w14:ligatures w14:val="none"/>
        </w:rPr>
        <w:t>[Your Name]</w:t>
      </w:r>
      <w:r w:rsidRPr="0032350E">
        <w:rPr>
          <w:rFonts w:ascii="Times New Roman" w:eastAsia="Times New Roman" w:hAnsi="Times New Roman" w:cs="Times New Roman"/>
          <w:kern w:val="0"/>
          <w:highlight w:val="yellow"/>
          <w14:ligatures w14:val="none"/>
        </w:rPr>
        <w:t xml:space="preserve"> </w:t>
      </w:r>
      <w:r w:rsidRPr="0032350E">
        <w:rPr>
          <w:rFonts w:ascii="Courier New" w:eastAsia="Times New Roman" w:hAnsi="Courier New" w:cs="Courier New"/>
          <w:kern w:val="0"/>
          <w:sz w:val="20"/>
          <w:szCs w:val="20"/>
          <w:highlight w:val="yellow"/>
          <w14:ligatures w14:val="none"/>
        </w:rPr>
        <w:t>[Date]</w:t>
      </w:r>
      <w:r w:rsidRPr="0032350E">
        <w:rPr>
          <w:rFonts w:ascii="Times New Roman" w:eastAsia="Times New Roman" w:hAnsi="Times New Roman" w:cs="Times New Roman"/>
          <w:kern w:val="0"/>
          <w:highlight w:val="yellow"/>
          <w14:ligatures w14:val="none"/>
        </w:rPr>
        <w:t xml:space="preserve"> </w:t>
      </w:r>
      <w:r w:rsidRPr="0032350E">
        <w:rPr>
          <w:rFonts w:ascii="Courier New" w:eastAsia="Times New Roman" w:hAnsi="Courier New" w:cs="Courier New"/>
          <w:kern w:val="0"/>
          <w:sz w:val="20"/>
          <w:szCs w:val="20"/>
          <w:highlight w:val="yellow"/>
          <w14:ligatures w14:val="none"/>
        </w:rPr>
        <w:t>[Email]</w:t>
      </w:r>
    </w:p>
    <w:p w14:paraId="00B7C0AE"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730F696A">
          <v:rect id="_x0000_i1026" alt="" style="width:468pt;height:.05pt;mso-width-percent:0;mso-height-percent:0;mso-width-percent:0;mso-height-percent:0" o:hralign="center" o:hrstd="t" o:hr="t" fillcolor="#a0a0a0" stroked="f"/>
        </w:pict>
      </w:r>
    </w:p>
    <w:p w14:paraId="24677C6C" w14:textId="77777777" w:rsidR="0032350E" w:rsidRPr="0032350E" w:rsidRDefault="0032350E" w:rsidP="003235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50E">
        <w:rPr>
          <w:rFonts w:ascii="Times New Roman" w:eastAsia="Times New Roman" w:hAnsi="Times New Roman" w:cs="Times New Roman"/>
          <w:b/>
          <w:bCs/>
          <w:kern w:val="0"/>
          <w:sz w:val="36"/>
          <w:szCs w:val="36"/>
          <w14:ligatures w14:val="none"/>
        </w:rPr>
        <w:t>APPENDIX — KEY STATUTES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7331"/>
      </w:tblGrid>
      <w:tr w:rsidR="0032350E" w:rsidRPr="0032350E" w14:paraId="6E5EAD68" w14:textId="77777777">
        <w:trPr>
          <w:tblHeader/>
          <w:tblCellSpacing w:w="15" w:type="dxa"/>
        </w:trPr>
        <w:tc>
          <w:tcPr>
            <w:tcW w:w="0" w:type="auto"/>
            <w:vAlign w:val="center"/>
            <w:hideMark/>
          </w:tcPr>
          <w:p w14:paraId="311D1154" w14:textId="77777777" w:rsidR="0032350E" w:rsidRPr="0032350E" w:rsidRDefault="0032350E" w:rsidP="0032350E">
            <w:pPr>
              <w:spacing w:after="0" w:line="240" w:lineRule="auto"/>
              <w:jc w:val="center"/>
              <w:rPr>
                <w:rFonts w:ascii="Times New Roman" w:eastAsia="Times New Roman" w:hAnsi="Times New Roman" w:cs="Times New Roman"/>
                <w:b/>
                <w:bCs/>
                <w:kern w:val="0"/>
                <w14:ligatures w14:val="none"/>
              </w:rPr>
            </w:pPr>
            <w:r w:rsidRPr="0032350E">
              <w:rPr>
                <w:rFonts w:ascii="Times New Roman" w:eastAsia="Times New Roman" w:hAnsi="Times New Roman" w:cs="Times New Roman"/>
                <w:b/>
                <w:bCs/>
                <w:kern w:val="0"/>
                <w14:ligatures w14:val="none"/>
              </w:rPr>
              <w:t>Statute</w:t>
            </w:r>
          </w:p>
        </w:tc>
        <w:tc>
          <w:tcPr>
            <w:tcW w:w="0" w:type="auto"/>
            <w:vAlign w:val="center"/>
            <w:hideMark/>
          </w:tcPr>
          <w:p w14:paraId="432E9D8B" w14:textId="77777777" w:rsidR="0032350E" w:rsidRPr="0032350E" w:rsidRDefault="0032350E" w:rsidP="0032350E">
            <w:pPr>
              <w:spacing w:after="0" w:line="240" w:lineRule="auto"/>
              <w:jc w:val="center"/>
              <w:rPr>
                <w:rFonts w:ascii="Times New Roman" w:eastAsia="Times New Roman" w:hAnsi="Times New Roman" w:cs="Times New Roman"/>
                <w:b/>
                <w:bCs/>
                <w:kern w:val="0"/>
                <w14:ligatures w14:val="none"/>
              </w:rPr>
            </w:pPr>
            <w:r w:rsidRPr="0032350E">
              <w:rPr>
                <w:rFonts w:ascii="Times New Roman" w:eastAsia="Times New Roman" w:hAnsi="Times New Roman" w:cs="Times New Roman"/>
                <w:b/>
                <w:bCs/>
                <w:kern w:val="0"/>
                <w14:ligatures w14:val="none"/>
              </w:rPr>
              <w:t>What it covers</w:t>
            </w:r>
          </w:p>
        </w:tc>
      </w:tr>
      <w:tr w:rsidR="0032350E" w:rsidRPr="0032350E" w14:paraId="6347B25B" w14:textId="77777777">
        <w:trPr>
          <w:tblCellSpacing w:w="15" w:type="dxa"/>
        </w:trPr>
        <w:tc>
          <w:tcPr>
            <w:tcW w:w="0" w:type="auto"/>
            <w:vAlign w:val="center"/>
            <w:hideMark/>
          </w:tcPr>
          <w:p w14:paraId="412F5116"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Gov. Code § 7922.535</w:t>
            </w:r>
          </w:p>
        </w:tc>
        <w:tc>
          <w:tcPr>
            <w:tcW w:w="0" w:type="auto"/>
            <w:vAlign w:val="center"/>
            <w:hideMark/>
          </w:tcPr>
          <w:p w14:paraId="4F469ED2"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10-calendar-day determination deadline; 14-day extension authority</w:t>
            </w:r>
          </w:p>
        </w:tc>
      </w:tr>
      <w:tr w:rsidR="0032350E" w:rsidRPr="0032350E" w14:paraId="1FAC7CA2" w14:textId="77777777">
        <w:trPr>
          <w:tblCellSpacing w:w="15" w:type="dxa"/>
        </w:trPr>
        <w:tc>
          <w:tcPr>
            <w:tcW w:w="0" w:type="auto"/>
            <w:vAlign w:val="center"/>
            <w:hideMark/>
          </w:tcPr>
          <w:p w14:paraId="5092459E"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Gov. Code § 7922.525</w:t>
            </w:r>
          </w:p>
        </w:tc>
        <w:tc>
          <w:tcPr>
            <w:tcW w:w="0" w:type="auto"/>
            <w:vAlign w:val="center"/>
            <w:hideMark/>
          </w:tcPr>
          <w:p w14:paraId="1685A235"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Exemption specificity — agency must identify specific statute and nature of withholding</w:t>
            </w:r>
          </w:p>
        </w:tc>
      </w:tr>
      <w:tr w:rsidR="0032350E" w:rsidRPr="0032350E" w14:paraId="13560794" w14:textId="77777777">
        <w:trPr>
          <w:tblCellSpacing w:w="15" w:type="dxa"/>
        </w:trPr>
        <w:tc>
          <w:tcPr>
            <w:tcW w:w="0" w:type="auto"/>
            <w:vAlign w:val="center"/>
            <w:hideMark/>
          </w:tcPr>
          <w:p w14:paraId="3736213A"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Gov. Code § 7922.530</w:t>
            </w:r>
          </w:p>
        </w:tc>
        <w:tc>
          <w:tcPr>
            <w:tcW w:w="0" w:type="auto"/>
            <w:vAlign w:val="center"/>
            <w:hideMark/>
          </w:tcPr>
          <w:p w14:paraId="32A587C3"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Agency must confirm in writing if no responsive records exist</w:t>
            </w:r>
          </w:p>
        </w:tc>
      </w:tr>
      <w:tr w:rsidR="0032350E" w:rsidRPr="0032350E" w14:paraId="4F85542F" w14:textId="77777777">
        <w:trPr>
          <w:tblCellSpacing w:w="15" w:type="dxa"/>
        </w:trPr>
        <w:tc>
          <w:tcPr>
            <w:tcW w:w="0" w:type="auto"/>
            <w:vAlign w:val="center"/>
            <w:hideMark/>
          </w:tcPr>
          <w:p w14:paraId="666D7408"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Gov. Code § 7923.100</w:t>
            </w:r>
          </w:p>
        </w:tc>
        <w:tc>
          <w:tcPr>
            <w:tcW w:w="0" w:type="auto"/>
            <w:vAlign w:val="center"/>
            <w:hideMark/>
          </w:tcPr>
          <w:p w14:paraId="10094AC0"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AG complaint authority</w:t>
            </w:r>
          </w:p>
        </w:tc>
      </w:tr>
      <w:tr w:rsidR="0032350E" w:rsidRPr="0032350E" w14:paraId="45D5E0AC" w14:textId="77777777">
        <w:trPr>
          <w:tblCellSpacing w:w="15" w:type="dxa"/>
        </w:trPr>
        <w:tc>
          <w:tcPr>
            <w:tcW w:w="0" w:type="auto"/>
            <w:vAlign w:val="center"/>
            <w:hideMark/>
          </w:tcPr>
          <w:p w14:paraId="48FB5DE6"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Gov. Code § 7923.000</w:t>
            </w:r>
          </w:p>
        </w:tc>
        <w:tc>
          <w:tcPr>
            <w:tcW w:w="0" w:type="auto"/>
            <w:vAlign w:val="center"/>
            <w:hideMark/>
          </w:tcPr>
          <w:p w14:paraId="6E4E1DB0"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Writ of mandate — Superior Court action to compel disclosure</w:t>
            </w:r>
          </w:p>
        </w:tc>
      </w:tr>
      <w:tr w:rsidR="0032350E" w:rsidRPr="0032350E" w14:paraId="1208562D" w14:textId="77777777">
        <w:trPr>
          <w:tblCellSpacing w:w="15" w:type="dxa"/>
        </w:trPr>
        <w:tc>
          <w:tcPr>
            <w:tcW w:w="0" w:type="auto"/>
            <w:vAlign w:val="center"/>
            <w:hideMark/>
          </w:tcPr>
          <w:p w14:paraId="39190A84"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Gov. Code § 7923.115</w:t>
            </w:r>
          </w:p>
        </w:tc>
        <w:tc>
          <w:tcPr>
            <w:tcW w:w="0" w:type="auto"/>
            <w:vAlign w:val="center"/>
            <w:hideMark/>
          </w:tcPr>
          <w:p w14:paraId="10B5303D" w14:textId="77777777" w:rsidR="0032350E" w:rsidRPr="0032350E" w:rsidRDefault="0032350E" w:rsidP="0032350E">
            <w:pPr>
              <w:spacing w:after="0"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kern w:val="0"/>
                <w14:ligatures w14:val="none"/>
              </w:rPr>
              <w:t>Attorney's fees available to prevailing requester</w:t>
            </w:r>
          </w:p>
        </w:tc>
      </w:tr>
    </w:tbl>
    <w:p w14:paraId="64DEB0CC" w14:textId="77777777" w:rsidR="0032350E" w:rsidRPr="0032350E" w:rsidRDefault="00E67800" w:rsidP="0032350E">
      <w:pPr>
        <w:spacing w:after="0" w:line="240" w:lineRule="auto"/>
        <w:rPr>
          <w:rFonts w:ascii="Times New Roman" w:eastAsia="Times New Roman" w:hAnsi="Times New Roman" w:cs="Times New Roman"/>
          <w:kern w:val="0"/>
          <w14:ligatures w14:val="none"/>
        </w:rPr>
      </w:pPr>
      <w:r w:rsidRPr="00E67800">
        <w:rPr>
          <w:rFonts w:ascii="Times New Roman" w:eastAsia="Times New Roman" w:hAnsi="Times New Roman" w:cs="Times New Roman"/>
          <w:noProof/>
          <w:kern w:val="0"/>
        </w:rPr>
        <w:pict w14:anchorId="79A8767E">
          <v:rect id="_x0000_i1025" alt="" style="width:468pt;height:.05pt;mso-width-percent:0;mso-height-percent:0;mso-width-percent:0;mso-height-percent:0" o:hralign="center" o:hrstd="t" o:hr="t" fillcolor="#a0a0a0" stroked="f"/>
        </w:pict>
      </w:r>
    </w:p>
    <w:p w14:paraId="4E3161A4" w14:textId="77777777" w:rsidR="0032350E" w:rsidRPr="0032350E" w:rsidRDefault="0032350E" w:rsidP="0032350E">
      <w:pPr>
        <w:spacing w:before="100" w:beforeAutospacing="1" w:after="100" w:afterAutospacing="1" w:line="240" w:lineRule="auto"/>
        <w:rPr>
          <w:rFonts w:ascii="Times New Roman" w:eastAsia="Times New Roman" w:hAnsi="Times New Roman" w:cs="Times New Roman"/>
          <w:kern w:val="0"/>
          <w14:ligatures w14:val="none"/>
        </w:rPr>
      </w:pPr>
      <w:r w:rsidRPr="0032350E">
        <w:rPr>
          <w:rFonts w:ascii="Times New Roman" w:eastAsia="Times New Roman" w:hAnsi="Times New Roman" w:cs="Times New Roman"/>
          <w:i/>
          <w:iCs/>
          <w:kern w:val="0"/>
          <w14:ligatures w14:val="none"/>
        </w:rPr>
        <w:t>Template prepared for DeFlock NorCal coalition use — not legal advice — adapt to your jurisdiction and circumstances.</w:t>
      </w:r>
    </w:p>
    <w:p w14:paraId="7CA6C423" w14:textId="77777777" w:rsidR="0032350E" w:rsidRDefault="0032350E"/>
    <w:sectPr w:rsidR="00323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E6F6D"/>
    <w:multiLevelType w:val="multilevel"/>
    <w:tmpl w:val="F03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1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0E"/>
    <w:rsid w:val="0032350E"/>
    <w:rsid w:val="00585F8A"/>
    <w:rsid w:val="00E6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5E9E"/>
  <w15:chartTrackingRefBased/>
  <w15:docId w15:val="{8EF1AC03-F1A7-724F-B296-1ED1931E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50E"/>
    <w:rPr>
      <w:rFonts w:eastAsiaTheme="majorEastAsia" w:cstheme="majorBidi"/>
      <w:color w:val="272727" w:themeColor="text1" w:themeTint="D8"/>
    </w:rPr>
  </w:style>
  <w:style w:type="paragraph" w:styleId="Title">
    <w:name w:val="Title"/>
    <w:basedOn w:val="Normal"/>
    <w:next w:val="Normal"/>
    <w:link w:val="TitleChar"/>
    <w:uiPriority w:val="10"/>
    <w:qFormat/>
    <w:rsid w:val="00323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50E"/>
    <w:pPr>
      <w:spacing w:before="160"/>
      <w:jc w:val="center"/>
    </w:pPr>
    <w:rPr>
      <w:i/>
      <w:iCs/>
      <w:color w:val="404040" w:themeColor="text1" w:themeTint="BF"/>
    </w:rPr>
  </w:style>
  <w:style w:type="character" w:customStyle="1" w:styleId="QuoteChar">
    <w:name w:val="Quote Char"/>
    <w:basedOn w:val="DefaultParagraphFont"/>
    <w:link w:val="Quote"/>
    <w:uiPriority w:val="29"/>
    <w:rsid w:val="0032350E"/>
    <w:rPr>
      <w:i/>
      <w:iCs/>
      <w:color w:val="404040" w:themeColor="text1" w:themeTint="BF"/>
    </w:rPr>
  </w:style>
  <w:style w:type="paragraph" w:styleId="ListParagraph">
    <w:name w:val="List Paragraph"/>
    <w:basedOn w:val="Normal"/>
    <w:uiPriority w:val="34"/>
    <w:qFormat/>
    <w:rsid w:val="0032350E"/>
    <w:pPr>
      <w:ind w:left="720"/>
      <w:contextualSpacing/>
    </w:pPr>
  </w:style>
  <w:style w:type="character" w:styleId="IntenseEmphasis">
    <w:name w:val="Intense Emphasis"/>
    <w:basedOn w:val="DefaultParagraphFont"/>
    <w:uiPriority w:val="21"/>
    <w:qFormat/>
    <w:rsid w:val="0032350E"/>
    <w:rPr>
      <w:i/>
      <w:iCs/>
      <w:color w:val="0F4761" w:themeColor="accent1" w:themeShade="BF"/>
    </w:rPr>
  </w:style>
  <w:style w:type="paragraph" w:styleId="IntenseQuote">
    <w:name w:val="Intense Quote"/>
    <w:basedOn w:val="Normal"/>
    <w:next w:val="Normal"/>
    <w:link w:val="IntenseQuoteChar"/>
    <w:uiPriority w:val="30"/>
    <w:qFormat/>
    <w:rsid w:val="00323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50E"/>
    <w:rPr>
      <w:i/>
      <w:iCs/>
      <w:color w:val="0F4761" w:themeColor="accent1" w:themeShade="BF"/>
    </w:rPr>
  </w:style>
  <w:style w:type="character" w:styleId="IntenseReference">
    <w:name w:val="Intense Reference"/>
    <w:basedOn w:val="DefaultParagraphFont"/>
    <w:uiPriority w:val="32"/>
    <w:qFormat/>
    <w:rsid w:val="0032350E"/>
    <w:rPr>
      <w:b/>
      <w:bCs/>
      <w:smallCaps/>
      <w:color w:val="0F4761" w:themeColor="accent1" w:themeShade="BF"/>
      <w:spacing w:val="5"/>
    </w:rPr>
  </w:style>
  <w:style w:type="paragraph" w:styleId="NormalWeb">
    <w:name w:val="Normal (Web)"/>
    <w:basedOn w:val="Normal"/>
    <w:uiPriority w:val="99"/>
    <w:semiHidden/>
    <w:unhideWhenUsed/>
    <w:rsid w:val="003235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350E"/>
    <w:rPr>
      <w:b/>
      <w:bCs/>
    </w:rPr>
  </w:style>
  <w:style w:type="character" w:styleId="Emphasis">
    <w:name w:val="Emphasis"/>
    <w:basedOn w:val="DefaultParagraphFont"/>
    <w:uiPriority w:val="20"/>
    <w:qFormat/>
    <w:rsid w:val="0032350E"/>
    <w:rPr>
      <w:i/>
      <w:iCs/>
    </w:rPr>
  </w:style>
  <w:style w:type="character" w:styleId="HTMLCode">
    <w:name w:val="HTML Code"/>
    <w:basedOn w:val="DefaultParagraphFont"/>
    <w:uiPriority w:val="99"/>
    <w:semiHidden/>
    <w:unhideWhenUsed/>
    <w:rsid w:val="003235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1394</Words>
  <Characters>8482</Characters>
  <Application>Microsoft Office Word</Application>
  <DocSecurity>0</DocSecurity>
  <Lines>166</Lines>
  <Paragraphs>47</Paragraphs>
  <ScaleCrop>false</ScaleCrop>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1</cp:revision>
  <dcterms:created xsi:type="dcterms:W3CDTF">2026-04-30T00:59:00Z</dcterms:created>
  <dcterms:modified xsi:type="dcterms:W3CDTF">2026-04-30T01:08:00Z</dcterms:modified>
</cp:coreProperties>
</file>