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595959"/>
          <w:sz w:val="20"/>
          <w:szCs w:val="20"/>
        </w:rPr>
        <w:t xml:space="preserve">PRIVILEGED INVESTIGATIVE RESEARCH MEMORANDUM</w:t>
      </w:r>
    </w:p>
    <w:p>
      <w:pPr>
        <w:pBdr>
          <w:bottom w:val="single" w:color="1F3864" w:sz="8" w:space="1"/>
        </w:pBdr>
        <w:spacing w:after="240" w:before="0"/>
      </w:pPr>
      <w:r>
        <w:rPr>
          <w:rFonts w:ascii="Arial" w:cs="Arial" w:eastAsia="Arial" w:hAnsi="Arial"/>
          <w:color w:val="595959"/>
          <w:sz w:val="20"/>
          <w:szCs w:val="20"/>
        </w:rPr>
        <w:t xml:space="preserve">Yuba County Flock Safety Oversight Project</w:t>
      </w:r>
    </w:p>
    <w:p>
      <w:pPr>
        <w:spacing w:after="80" w:before="240"/>
      </w:pPr>
    </w:p>
    <w:p>
      <w:pPr>
        <w:spacing w:after="120" w:before="0"/>
      </w:pPr>
      <w:r>
        <w:rPr>
          <w:rFonts w:ascii="Arial" w:cs="Arial" w:eastAsia="Arial" w:hAnsi="Arial"/>
          <w:b/>
          <w:bCs/>
          <w:color w:val="1F3864"/>
          <w:sz w:val="44"/>
          <w:szCs w:val="44"/>
        </w:rPr>
        <w:t xml:space="preserve">Flock Group Inc. Patent Analysis</w:t>
      </w:r>
    </w:p>
    <w:p>
      <w:pPr>
        <w:spacing w:after="80" w:before="0"/>
      </w:pPr>
      <w:r>
        <w:rPr>
          <w:rFonts w:ascii="Arial" w:cs="Arial" w:eastAsia="Arial" w:hAnsi="Arial"/>
          <w:b/>
          <w:bCs/>
          <w:color w:val="C00000"/>
          <w:sz w:val="32"/>
          <w:szCs w:val="32"/>
        </w:rPr>
        <w:t xml:space="preserve">US Patent No. 11,416,545 B1</w:t>
      </w:r>
    </w:p>
    <w:p>
      <w:pPr>
        <w:spacing w:after="80" w:before="0"/>
      </w:pPr>
      <w:r>
        <w:rPr>
          <w:rFonts w:ascii="Arial" w:cs="Arial" w:eastAsia="Arial" w:hAnsi="Arial"/>
          <w:i/>
          <w:iCs/>
          <w:color w:val="2E5496"/>
          <w:sz w:val="24"/>
          <w:szCs w:val="24"/>
        </w:rPr>
        <w:t xml:space="preserve">"System and Method for Object Based Query of Video Content Captured by a Dynamic Surveillance Network"</w:t>
      </w:r>
    </w:p>
    <w:p>
      <w:pPr>
        <w:spacing w:after="320" w:before="80"/>
      </w:pPr>
      <w:r>
        <w:rPr>
          <w:rFonts w:ascii="Arial" w:cs="Arial" w:eastAsia="Arial" w:hAnsi="Arial"/>
          <w:color w:val="595959"/>
          <w:sz w:val="20"/>
          <w:szCs w:val="20"/>
        </w:rPr>
        <w:t xml:space="preserve">Primary Source: USPTO Official Patent Record  |  Prepared for Yuba County Board of Supervisors Presentation</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1: Patent Identification — Primary Source Data</w:t>
      </w:r>
    </w:p>
    <w:p>
      <w:pPr>
        <w:spacing w:after="80" w:before="80"/>
      </w:pPr>
      <w:r>
        <w:rPr>
          <w:rFonts w:ascii="Arial" w:cs="Arial" w:eastAsia="Arial" w:hAnsi="Arial"/>
          <w:sz w:val="22"/>
          <w:szCs w:val="22"/>
        </w:rPr>
        <w:t xml:space="preserve">All information in this section is drawn directly from the face of the official USPTO patent document. No secondary sources.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Patent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11,416,545 B1</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Patent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and Method for Object Based Query of Video Content Captured by a Dynamic Surveillance Network</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Assignee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FLOCK GROUP INC., Atlanta, GA (US)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Inventors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Garrett Langley, Atlanta, GA (US); Matt Feury, Atlanta, GA (US)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Applicant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FLOCK GROUP INC., Atlanta, GA (US)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Application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17/062,601</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Filing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October 4, 2020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Date of Patent (Grant)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August 16, 2022</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Continuation 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No. 15/968,402, filed May 1, 2018, now Pat. No. 10,795,933</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Patent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Claims, 13 Drawing Sheets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Primary Examiner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Xin Jia (USPTO)</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Attorney /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Wigmore Smith Tempel; Steven P.</w:t>
            </w:r>
          </w:p>
        </w:tc>
      </w:tr>
    </w:tbl>
    <w:p>
      <w:pPr>
        <w:spacing w:after="80" w:before="160"/>
      </w:pPr>
    </w:p>
    <w:p>
      <w:pPr>
        <w:spacing w:after="80" w:before="80"/>
      </w:pPr>
      <w:r>
        <w:rPr>
          <w:rFonts w:ascii="Arial" w:cs="Arial" w:eastAsia="Arial" w:hAnsi="Arial"/>
          <w:sz w:val="22"/>
          <w:szCs w:val="22"/>
        </w:rPr>
        <w:t xml:space="preserve">Note: Garrett Langley is the CEO of Flock Safety. His name appears as inventor on the primary patent covering the DSOQ surveillance query system deployed in Yuba County.</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2: Official Abstract (Verbatim from Patent)</w:t>
      </w:r>
    </w:p>
    <w:p>
      <w:pPr>
        <w:spacing w:after="80" w:before="80"/>
      </w:pPr>
      <w:r>
        <w:rPr>
          <w:rFonts w:ascii="Arial" w:cs="Arial" w:eastAsia="Arial" w:hAnsi="Arial"/>
          <w:sz w:val="22"/>
          <w:szCs w:val="22"/>
        </w:rPr>
        <w:t xml:space="preserve">The following is the complete abstract as it appears on the face of US Patent 11,416,545 B1:</w:t>
      </w:r>
    </w:p>
    <w:p>
      <w:pPr>
        <w:pBdr>
          <w:left w:val="single" w:color="C00000" w:sz="6" w:space="12"/>
        </w:pBdr>
        <w:spacing w:after="120" w:before="120"/>
        <w:ind w:left="720" w:right="720"/>
      </w:pPr>
      <w:r>
        <w:rPr>
          <w:rFonts w:ascii="Arial" w:cs="Arial" w:eastAsia="Arial" w:hAnsi="Arial"/>
          <w:i/>
          <w:iCs/>
          <w:sz w:val="22"/>
          <w:szCs w:val="22"/>
        </w:rPr>
        <w:t xml:space="preserve">A solution for a video surveillance system and method that leverages a dynamic geographic footprint and supports an object-based query of archived video content is described. An exemplary embodiment of the solution receives video footage from any number of unrelated sources. The video footage is parsed for content and stored in a database in connection with data that identifies the content (object class, aspects of the object, confidence scores, time and location data, etc.). Advantageously, the video footage may be queried based on content of the video footage and not just time and location data. In this way, embodiments of the solution provide for efficient query and review of relevant video footage.</w:t>
      </w:r>
    </w:p>
    <w:p>
      <w:pPr>
        <w:spacing w:after="80" w:before="80"/>
      </w:pPr>
      <w:r>
        <w:rPr>
          <w:rFonts w:ascii="Arial" w:cs="Arial" w:eastAsia="Arial" w:hAnsi="Arial"/>
          <w:sz w:val="22"/>
          <w:szCs w:val="22"/>
        </w:rPr>
        <w:t xml:space="preserve">Source: US 11,416,545 B1, Page 1 (Abstract)</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3: Facial Recognition Capability — Direct Patent Language</w:t>
      </w:r>
    </w:p>
    <w:p>
      <w:pPr>
        <w:shd w:fill="FFF2CC" w:val="clear"/>
        <w:spacing w:after="120" w:before="120"/>
      </w:pPr>
      <w:r>
        <w:rPr>
          <w:rFonts w:ascii="Arial" w:cs="Arial" w:eastAsia="Arial" w:hAnsi="Arial"/>
          <w:b/>
          <w:bCs/>
          <w:sz w:val="22"/>
          <w:szCs w:val="22"/>
        </w:rPr>
        <w:t xml:space="preserve">⚠ KEY FINDING: The patent describes explicit facial recognition query functionality in the body of the specification. This directly contradicts Flock Safety’s public marketing claims.</w:t>
      </w:r>
    </w:p>
    <w:p>
      <w:pPr>
        <w:spacing w:after="80" w:before="160"/>
      </w:pPr>
    </w:p>
    <w:p>
      <w:pPr>
        <w:pStyle w:val="Heading2"/>
        <w:spacing w:after="120" w:before="240"/>
      </w:pPr>
      <w:r>
        <w:rPr>
          <w:rFonts w:ascii="Arial" w:cs="Arial" w:eastAsia="Arial" w:hAnsi="Arial"/>
          <w:b/>
          <w:bCs/>
          <w:color w:val="2E5496"/>
          <w:sz w:val="26"/>
          <w:szCs w:val="26"/>
        </w:rPr>
        <w:t xml:space="preserve">3.1 The Facial Recognition Passage (Verbatim)</w:t>
      </w:r>
    </w:p>
    <w:p>
      <w:pPr>
        <w:spacing w:after="80" w:before="80"/>
      </w:pPr>
      <w:r>
        <w:rPr>
          <w:rFonts w:ascii="Arial" w:cs="Arial" w:eastAsia="Arial" w:hAnsi="Arial"/>
          <w:sz w:val="22"/>
          <w:szCs w:val="22"/>
        </w:rPr>
        <w:t xml:space="preserve">The following passage appears in the Detailed Description section of the patent (Pages 19-20 of the patent document). It describes an investigative scenario in which the DSOQ system is used to identify and track a burglary suspect:</w:t>
      </w:r>
    </w:p>
    <w:p>
      <w:pPr>
        <w:pBdr>
          <w:left w:val="single" w:color="C00000" w:sz="6" w:space="12"/>
        </w:pBdr>
        <w:spacing w:after="120" w:before="120"/>
        <w:ind w:left="720" w:right="720"/>
      </w:pPr>
      <w:r>
        <w:rPr>
          <w:rFonts w:ascii="Arial" w:cs="Arial" w:eastAsia="Arial" w:hAnsi="Arial"/>
          <w:i/>
          <w:iCs/>
          <w:sz w:val="22"/>
          <w:szCs w:val="22"/>
        </w:rPr>
        <w:t xml:space="preserve">...investigators may be able to identify the face of the driver of red car #1 when he purchased the candy bar. Now, with face recognition data points, the investigators may be able to query the DSOQ system for any footage captured by HSS-1 or HSS-2 having a person with matching face recognition data points. In this way, investigators may be able to determine that the driver of red car #1 peered into the windows of the house associated with HSS-1.</w:t>
      </w:r>
    </w:p>
    <w:p>
      <w:pPr>
        <w:spacing w:after="60" w:before="60"/>
      </w:pPr>
      <w:r>
        <w:rPr>
          <w:rFonts w:ascii="Arial" w:cs="Arial" w:eastAsia="Arial" w:hAnsi="Arial"/>
          <w:color w:val="595959"/>
          <w:sz w:val="20"/>
          <w:szCs w:val="20"/>
        </w:rPr>
        <w:t xml:space="preserve">Source: US 11,416,545 B1, Pages 19-20, Detailed Description, Paragraph beginning "Also during time window n+2..."</w:t>
      </w:r>
    </w:p>
    <w:p>
      <w:pPr>
        <w:spacing w:after="80" w:before="120"/>
      </w:pPr>
    </w:p>
    <w:p>
      <w:pPr>
        <w:spacing w:after="80" w:before="80"/>
      </w:pPr>
      <w:r>
        <w:rPr>
          <w:rFonts w:ascii="Arial" w:cs="Arial" w:eastAsia="Arial" w:hAnsi="Arial"/>
          <w:sz w:val="22"/>
          <w:szCs w:val="22"/>
        </w:rPr>
        <w:t xml:space="preserve">Analysis: This is not a theoretical capability described in a claims appendix. It appears in the operative description of how the system functions in a standard law enforcement investigation scenario. The patent uses the phrase "face recognition data points" as an accepted, integrated query input — equivalent to searching by license plate, vehicle color, or clothing type.</w:t>
      </w:r>
    </w:p>
    <w:p>
      <w:pPr>
        <w:spacing w:after="80" w:before="160"/>
      </w:pPr>
    </w:p>
    <w:p>
      <w:pPr>
        <w:pStyle w:val="Heading2"/>
        <w:spacing w:after="120" w:before="240"/>
      </w:pPr>
      <w:r>
        <w:rPr>
          <w:rFonts w:ascii="Arial" w:cs="Arial" w:eastAsia="Arial" w:hAnsi="Arial"/>
          <w:b/>
          <w:bCs/>
          <w:color w:val="2E5496"/>
          <w:sz w:val="26"/>
          <w:szCs w:val="26"/>
        </w:rPr>
        <w:t xml:space="preserve">3.2 Person Classification Neural Networks (Verbatim)</w:t>
      </w:r>
    </w:p>
    <w:p>
      <w:pPr>
        <w:spacing w:after="80" w:before="80"/>
      </w:pPr>
      <w:r>
        <w:rPr>
          <w:rFonts w:ascii="Arial" w:cs="Arial" w:eastAsia="Arial" w:hAnsi="Arial"/>
          <w:sz w:val="22"/>
          <w:szCs w:val="22"/>
        </w:rPr>
        <w:t xml:space="preserve">Figure 5A of the patent (Page 10) is a functional block diagram of the Object Detection Module. It explicitly lists the following neural network classifications for detected persons:</w:t>
      </w:r>
    </w:p>
    <w:p>
      <w:pPr>
        <w:pBdr>
          <w:left w:val="single" w:color="C00000" w:sz="6" w:space="12"/>
        </w:pBdr>
        <w:spacing w:after="120" w:before="120"/>
        <w:ind w:left="720" w:right="720"/>
      </w:pPr>
      <w:r>
        <w:rPr>
          <w:rFonts w:ascii="Arial" w:cs="Arial" w:eastAsia="Arial" w:hAnsi="Arial"/>
          <w:i/>
          <w:iCs/>
          <w:sz w:val="22"/>
          <w:szCs w:val="22"/>
        </w:rPr>
        <w:t xml:space="preserve">CLASS 2 NEURAL NETWORK (e.g., person)</w:t>
      </w:r>
    </w:p>
    <w:p>
      <w:pPr>
        <w:pBdr>
          <w:left w:val="single" w:color="C00000" w:sz="6" w:space="12"/>
        </w:pBdr>
        <w:spacing w:after="120" w:before="120"/>
        <w:ind w:left="720" w:right="720"/>
      </w:pPr>
      <w:r>
        <w:rPr>
          <w:rFonts w:ascii="Arial" w:cs="Arial" w:eastAsia="Arial" w:hAnsi="Arial"/>
          <w:i/>
          <w:iCs/>
          <w:sz w:val="22"/>
          <w:szCs w:val="22"/>
        </w:rPr>
        <w:t xml:space="preserve">ASPECT 2 NEURAL NETWORK (e.g., color)</w:t>
      </w:r>
    </w:p>
    <w:p>
      <w:pPr>
        <w:pBdr>
          <w:left w:val="single" w:color="C00000" w:sz="6" w:space="12"/>
        </w:pBdr>
        <w:spacing w:after="120" w:before="120"/>
        <w:ind w:left="720" w:right="720"/>
      </w:pPr>
      <w:r>
        <w:rPr>
          <w:rFonts w:ascii="Arial" w:cs="Arial" w:eastAsia="Arial" w:hAnsi="Arial"/>
          <w:i/>
          <w:iCs/>
          <w:sz w:val="22"/>
          <w:szCs w:val="22"/>
        </w:rPr>
        <w:t xml:space="preserve">ASPECT 4 NEURAL NETWORK (e.g., clothing type)</w:t>
      </w:r>
    </w:p>
    <w:p>
      <w:pPr>
        <w:pBdr>
          <w:left w:val="single" w:color="C00000" w:sz="6" w:space="12"/>
        </w:pBdr>
        <w:spacing w:after="120" w:before="120"/>
        <w:ind w:left="720" w:right="720"/>
      </w:pPr>
      <w:r>
        <w:rPr>
          <w:rFonts w:ascii="Arial" w:cs="Arial" w:eastAsia="Arial" w:hAnsi="Arial"/>
          <w:i/>
          <w:iCs/>
          <w:sz w:val="22"/>
          <w:szCs w:val="22"/>
        </w:rPr>
        <w:t xml:space="preserve">ASPECT n NEURAL NETWORK (e.g., height/weight)</w:t>
      </w:r>
    </w:p>
    <w:p>
      <w:pPr>
        <w:spacing w:after="60" w:before="60"/>
      </w:pPr>
      <w:r>
        <w:rPr>
          <w:rFonts w:ascii="Arial" w:cs="Arial" w:eastAsia="Arial" w:hAnsi="Arial"/>
          <w:color w:val="595959"/>
          <w:sz w:val="20"/>
          <w:szCs w:val="20"/>
        </w:rPr>
        <w:t xml:space="preserve">Source: US 11,416,545 B1, Page 10, Figure 5A — Object Detection Module diagram</w:t>
      </w:r>
    </w:p>
    <w:p>
      <w:pPr>
        <w:spacing w:after="80" w:before="120"/>
      </w:pPr>
    </w:p>
    <w:p>
      <w:pPr>
        <w:spacing w:after="80" w:before="80"/>
      </w:pPr>
      <w:r>
        <w:rPr>
          <w:rFonts w:ascii="Arial" w:cs="Arial" w:eastAsia="Arial" w:hAnsi="Arial"/>
          <w:sz w:val="22"/>
          <w:szCs w:val="22"/>
        </w:rPr>
        <w:t xml:space="preserve">The written description of Figure 5A in the Detailed Description section (Page 19) further specifies what the neural networks classify when a person is identified:</w:t>
      </w:r>
    </w:p>
    <w:p>
      <w:pPr>
        <w:pBdr>
          <w:left w:val="single" w:color="C00000" w:sz="6" w:space="12"/>
        </w:pBdr>
        <w:spacing w:after="120" w:before="120"/>
        <w:ind w:left="720" w:right="720"/>
      </w:pPr>
      <w:r>
        <w:rPr>
          <w:rFonts w:ascii="Arial" w:cs="Arial" w:eastAsia="Arial" w:hAnsi="Arial"/>
          <w:i/>
          <w:iCs/>
          <w:sz w:val="22"/>
          <w:szCs w:val="22"/>
        </w:rPr>
        <w:t xml:space="preserve">...if the object class of the identified object is that of a human being, then the object detection module 154 may further analyze the image 501 using a neural network module 507B configured to identify different classes of people (male, female, race, etc.). Subsequently, with aspects of the person identified, the object detection module 154 may leverage other, more detailed neural networks 507, 509 to further identify aspects of the person such as, but not limited to, a neural network 509D for identifying clothing types (jacket, pants, shorts, hat, etc.) and a neural network 509ZZ for gauging height and weight.</w:t>
      </w:r>
    </w:p>
    <w:p>
      <w:pPr>
        <w:spacing w:after="60" w:before="60"/>
      </w:pPr>
      <w:r>
        <w:rPr>
          <w:rFonts w:ascii="Arial" w:cs="Arial" w:eastAsia="Arial" w:hAnsi="Arial"/>
          <w:color w:val="595959"/>
          <w:sz w:val="20"/>
          <w:szCs w:val="20"/>
        </w:rPr>
        <w:t xml:space="preserve">Source: US 11,416,545 B1, Page 19, Detailed Description (FIG. 5A description)</w:t>
      </w:r>
    </w:p>
    <w:p>
      <w:pPr>
        <w:spacing w:after="80" w:before="120"/>
      </w:pPr>
    </w:p>
    <w:p>
      <w:pPr>
        <w:shd w:fill="FFF2CC" w:val="clear"/>
        <w:spacing w:after="120" w:before="120"/>
      </w:pPr>
      <w:r>
        <w:rPr>
          <w:rFonts w:ascii="Arial" w:cs="Arial" w:eastAsia="Arial" w:hAnsi="Arial"/>
          <w:b/>
          <w:bCs/>
          <w:sz w:val="22"/>
          <w:szCs w:val="22"/>
        </w:rPr>
        <w:t xml:space="preserve">The patent explicitly names race as a classification category for identified persons. This is a biometric data point under California law.</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4: Object Classification Architecture — What the System Tracks</w:t>
      </w:r>
    </w:p>
    <w:p>
      <w:pPr>
        <w:spacing w:after="80" w:before="80"/>
      </w:pPr>
      <w:r>
        <w:rPr>
          <w:rFonts w:ascii="Arial" w:cs="Arial" w:eastAsia="Arial" w:hAnsi="Arial"/>
          <w:sz w:val="22"/>
          <w:szCs w:val="22"/>
        </w:rPr>
        <w:t xml:space="preserve">The patent describes a cascading neural network architecture (the "DSOQ" system — Dynamic Surveillance and Object-based Query) capable of classifying any detected object by class and aspects. The following data is drawn directly from the patent text and Figure 5A.</w:t>
      </w:r>
    </w:p>
    <w:p>
      <w:pPr>
        <w:spacing w:after="80" w:before="160"/>
      </w:pPr>
    </w:p>
    <w:p>
      <w:pPr>
        <w:pStyle w:val="Heading2"/>
        <w:spacing w:after="120" w:before="240"/>
      </w:pPr>
      <w:r>
        <w:rPr>
          <w:rFonts w:ascii="Arial" w:cs="Arial" w:eastAsia="Arial" w:hAnsi="Arial"/>
          <w:b/>
          <w:bCs/>
          <w:color w:val="2E5496"/>
          <w:sz w:val="26"/>
          <w:szCs w:val="26"/>
        </w:rPr>
        <w:t xml:space="preserve">4.1 Object Classes Identified by the System</w:t>
      </w:r>
    </w:p>
    <w:p>
      <w:pPr>
        <w:pStyle w:val="ListParagraph"/>
        <w:numPr>
          <w:ilvl w:val="0"/>
          <w:numId w:val="2"/>
        </w:numPr>
        <w:spacing w:after="60" w:before="60"/>
      </w:pPr>
      <w:r>
        <w:rPr>
          <w:rFonts w:ascii="Arial" w:cs="Arial" w:eastAsia="Arial" w:hAnsi="Arial"/>
          <w:sz w:val="22"/>
          <w:szCs w:val="22"/>
        </w:rPr>
        <w:t xml:space="preserve">Vehicles (e.g., automobiles)</w:t>
      </w:r>
    </w:p>
    <w:p>
      <w:pPr>
        <w:pStyle w:val="ListParagraph"/>
        <w:numPr>
          <w:ilvl w:val="0"/>
          <w:numId w:val="2"/>
        </w:numPr>
        <w:spacing w:after="60" w:before="60"/>
      </w:pPr>
      <w:r>
        <w:rPr>
          <w:rFonts w:ascii="Arial" w:cs="Arial" w:eastAsia="Arial" w:hAnsi="Arial"/>
          <w:sz w:val="22"/>
          <w:szCs w:val="22"/>
        </w:rPr>
        <w:t xml:space="preserve">Persons (human beings)</w:t>
      </w:r>
    </w:p>
    <w:p>
      <w:pPr>
        <w:pStyle w:val="ListParagraph"/>
        <w:numPr>
          <w:ilvl w:val="0"/>
          <w:numId w:val="2"/>
        </w:numPr>
        <w:spacing w:after="60" w:before="60"/>
      </w:pPr>
      <w:r>
        <w:rPr>
          <w:rFonts w:ascii="Arial" w:cs="Arial" w:eastAsia="Arial" w:hAnsi="Arial"/>
          <w:sz w:val="22"/>
          <w:szCs w:val="22"/>
        </w:rPr>
        <w:t xml:space="preserve">Bicycles</w:t>
      </w:r>
    </w:p>
    <w:p>
      <w:pPr>
        <w:pStyle w:val="ListParagraph"/>
        <w:numPr>
          <w:ilvl w:val="0"/>
          <w:numId w:val="2"/>
        </w:numPr>
        <w:spacing w:after="60" w:before="60"/>
      </w:pPr>
      <w:r>
        <w:rPr>
          <w:rFonts w:ascii="Arial" w:cs="Arial" w:eastAsia="Arial" w:hAnsi="Arial"/>
          <w:sz w:val="22"/>
          <w:szCs w:val="22"/>
        </w:rPr>
        <w:t xml:space="preserve">Animals</w:t>
      </w:r>
    </w:p>
    <w:p>
      <w:pPr>
        <w:pStyle w:val="ListParagraph"/>
        <w:numPr>
          <w:ilvl w:val="0"/>
          <w:numId w:val="2"/>
        </w:numPr>
        <w:spacing w:after="60" w:before="60"/>
      </w:pPr>
      <w:r>
        <w:rPr>
          <w:rFonts w:ascii="Arial" w:cs="Arial" w:eastAsia="Arial" w:hAnsi="Arial"/>
          <w:sz w:val="22"/>
          <w:szCs w:val="22"/>
        </w:rPr>
        <w:t xml:space="preserve">Any additional class ("Class n") — the architecture is explicitly open-ended</w:t>
      </w:r>
    </w:p>
    <w:p>
      <w:pPr>
        <w:spacing w:after="60" w:before="60"/>
      </w:pPr>
      <w:r>
        <w:rPr>
          <w:rFonts w:ascii="Arial" w:cs="Arial" w:eastAsia="Arial" w:hAnsi="Arial"/>
          <w:color w:val="595959"/>
          <w:sz w:val="20"/>
          <w:szCs w:val="20"/>
        </w:rPr>
        <w:t xml:space="preserve">Source: US 11,416,545 B1, Page 10, Figure 5A; Page 19, Detailed Description</w:t>
      </w:r>
    </w:p>
    <w:p>
      <w:pPr>
        <w:spacing w:after="80" w:before="160"/>
      </w:pPr>
    </w:p>
    <w:p>
      <w:pPr>
        <w:pStyle w:val="Heading2"/>
        <w:spacing w:after="120" w:before="240"/>
      </w:pPr>
      <w:r>
        <w:rPr>
          <w:rFonts w:ascii="Arial" w:cs="Arial" w:eastAsia="Arial" w:hAnsi="Arial"/>
          <w:b/>
          <w:bCs/>
          <w:color w:val="2E5496"/>
          <w:sz w:val="26"/>
          <w:szCs w:val="26"/>
        </w:rPr>
        <w:t xml:space="preserve">4.2 Person-Specific Attributes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Patent Source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 Legal 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Gender (male, female)</w:t>
            </w:r>
          </w:p>
        </w:tc>
        <w:tc>
          <w:tcPr>
            <w:tcW w:type="dxa" w:w="288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sz w:val="20"/>
                <w:szCs w:val="20"/>
              </w:rPr>
              <w:t xml:space="preserve">Fig. 5A description, Page 19: "configured to identify different classes of people (male, female, race, etc.)"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characteristic; biometric-adjacent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Race / Ethnicity</w:t>
            </w:r>
          </w:p>
        </w:tc>
        <w:tc>
          <w:tcPr>
            <w:tcW w:type="dxa" w:w="288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sz w:val="20"/>
                <w:szCs w:val="20"/>
              </w:rPr>
              <w:t xml:space="preserve">Fig. 5A description, Page 19: explicitly listed as a classification class alongside gender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personal characteristic under CA law; ALPR policy disclosures typically omit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Clothing type</w:t>
            </w:r>
          </w:p>
        </w:tc>
        <w:tc>
          <w:tcPr>
            <w:tcW w:type="dxa" w:w="288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sz w:val="20"/>
                <w:szCs w:val="20"/>
              </w:rPr>
              <w:t xml:space="preserve">Fig. 5A description, Page 19: "neural network 509D for identifying clothing types (jacket, pants, shorts, hat, etc.)"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for cross-camera person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Height and Weight</w:t>
            </w:r>
          </w:p>
        </w:tc>
        <w:tc>
          <w:tcPr>
            <w:tcW w:type="dxa" w:w="288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sz w:val="20"/>
                <w:szCs w:val="20"/>
              </w:rPr>
              <w:t xml:space="preserve">Fig. 5A, Page 10: "Aspect n Neural Network (e.g., height/weight)"; confirmed p. 19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biometric descriptor enabling re-identification across cameras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Face recognition data points</w:t>
            </w:r>
          </w:p>
        </w:tc>
        <w:tc>
          <w:tcPr>
            <w:tcW w:type="dxa" w:w="288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sz w:val="20"/>
                <w:szCs w:val="20"/>
              </w:rPr>
              <w:t xml:space="preserve">Detailed Description, Pages 19-20: "query the DSOQ system for any footage...having a person with matching face recognition data points"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facial recognition query capability, contradicting public marketing</w:t>
            </w:r>
          </w:p>
        </w:tc>
      </w:tr>
    </w:tbl>
    <w:p>
      <w:pPr>
        <w:spacing w:after="80" w:before="160"/>
      </w:pPr>
    </w:p>
    <w:p>
      <w:pPr>
        <w:pStyle w:val="Heading2"/>
        <w:spacing w:after="120" w:before="240"/>
      </w:pPr>
      <w:r>
        <w:rPr>
          <w:rFonts w:ascii="Arial" w:cs="Arial" w:eastAsia="Arial" w:hAnsi="Arial"/>
          <w:b/>
          <w:bCs/>
          <w:color w:val="2E5496"/>
          <w:sz w:val="26"/>
          <w:szCs w:val="26"/>
        </w:rPr>
        <w:t xml:space="preserve">4.3 Vehicle-Specific Attributes Classified</w:t>
      </w:r>
    </w:p>
    <w:p>
      <w:pPr>
        <w:pStyle w:val="ListParagraph"/>
        <w:numPr>
          <w:ilvl w:val="0"/>
          <w:numId w:val="2"/>
        </w:numPr>
        <w:spacing w:after="60" w:before="60"/>
      </w:pPr>
      <w:r>
        <w:rPr>
          <w:rFonts w:ascii="Arial" w:cs="Arial" w:eastAsia="Arial" w:hAnsi="Arial"/>
          <w:sz w:val="22"/>
          <w:szCs w:val="22"/>
        </w:rPr>
        <w:t xml:space="preserve">Make and model (neural network 509A)</w:t>
      </w:r>
    </w:p>
    <w:p>
      <w:pPr>
        <w:pStyle w:val="ListParagraph"/>
        <w:numPr>
          <w:ilvl w:val="0"/>
          <w:numId w:val="2"/>
        </w:numPr>
        <w:spacing w:after="60" w:before="60"/>
      </w:pPr>
      <w:r>
        <w:rPr>
          <w:rFonts w:ascii="Arial" w:cs="Arial" w:eastAsia="Arial" w:hAnsi="Arial"/>
          <w:sz w:val="22"/>
          <w:szCs w:val="22"/>
        </w:rPr>
        <w:t xml:space="preserve">Color (neural network 509B)</w:t>
      </w:r>
    </w:p>
    <w:p>
      <w:pPr>
        <w:pStyle w:val="ListParagraph"/>
        <w:numPr>
          <w:ilvl w:val="0"/>
          <w:numId w:val="2"/>
        </w:numPr>
        <w:spacing w:after="60" w:before="60"/>
      </w:pPr>
      <w:r>
        <w:rPr>
          <w:rFonts w:ascii="Arial" w:cs="Arial" w:eastAsia="Arial" w:hAnsi="Arial"/>
          <w:sz w:val="22"/>
          <w:szCs w:val="22"/>
        </w:rPr>
        <w:t xml:space="preserve">License plate — decoded via symbology recognition module (blocks 630-635 of Fig. 6)</w:t>
      </w:r>
    </w:p>
    <w:p>
      <w:pPr>
        <w:pStyle w:val="ListParagraph"/>
        <w:numPr>
          <w:ilvl w:val="0"/>
          <w:numId w:val="2"/>
        </w:numPr>
        <w:spacing w:after="60" w:before="60"/>
      </w:pPr>
      <w:r>
        <w:rPr>
          <w:rFonts w:ascii="Arial" w:cs="Arial" w:eastAsia="Arial" w:hAnsi="Arial"/>
          <w:sz w:val="22"/>
          <w:szCs w:val="22"/>
        </w:rPr>
        <w:t xml:space="preserve">Occupant count</w:t>
      </w:r>
    </w:p>
    <w:p>
      <w:pPr>
        <w:pStyle w:val="ListParagraph"/>
        <w:numPr>
          <w:ilvl w:val="0"/>
          <w:numId w:val="2"/>
        </w:numPr>
        <w:spacing w:after="60" w:before="60"/>
      </w:pPr>
      <w:r>
        <w:rPr>
          <w:rFonts w:ascii="Arial" w:cs="Arial" w:eastAsia="Arial" w:hAnsi="Arial"/>
          <w:sz w:val="22"/>
          <w:szCs w:val="22"/>
        </w:rPr>
        <w:t xml:space="preserve">Additional aspects — architecture is explicitly open-ended ("Aspect n Neural Network")</w:t>
      </w:r>
    </w:p>
    <w:p>
      <w:pPr>
        <w:spacing w:after="60" w:before="60"/>
      </w:pPr>
      <w:r>
        <w:rPr>
          <w:rFonts w:ascii="Arial" w:cs="Arial" w:eastAsia="Arial" w:hAnsi="Arial"/>
          <w:color w:val="595959"/>
          <w:sz w:val="20"/>
          <w:szCs w:val="20"/>
        </w:rPr>
        <w:t xml:space="preserve">Source: US 11,416,545 B1, Pages 10, 19, 26 (Fig. 5A, Detailed Description, Method 600)</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5: Dynamic Network Architecture — Cross-Jurisdictional Data Sharing</w:t>
      </w:r>
    </w:p>
    <w:p>
      <w:pPr>
        <w:spacing w:after="80" w:before="80"/>
      </w:pPr>
      <w:r>
        <w:rPr>
          <w:rFonts w:ascii="Arial" w:cs="Arial" w:eastAsia="Arial" w:hAnsi="Arial"/>
          <w:sz w:val="22"/>
          <w:szCs w:val="22"/>
        </w:rPr>
        <w:t xml:space="preserve">The patent's core innovation is not the camera itself but the networked database architecture connecting unrelated surveillance devices into a unified queryable system. This is directly relevant to the Yuba County deployment.</w:t>
      </w:r>
    </w:p>
    <w:p>
      <w:pPr>
        <w:spacing w:after="80" w:before="160"/>
      </w:pPr>
    </w:p>
    <w:p>
      <w:pPr>
        <w:pStyle w:val="Heading2"/>
        <w:spacing w:after="120" w:before="240"/>
      </w:pPr>
      <w:r>
        <w:rPr>
          <w:rFonts w:ascii="Arial" w:cs="Arial" w:eastAsia="Arial" w:hAnsi="Arial"/>
          <w:b/>
          <w:bCs/>
          <w:color w:val="2E5496"/>
          <w:sz w:val="26"/>
          <w:szCs w:val="26"/>
        </w:rPr>
        <w:t xml:space="preserve">5.1 Aggregation of Unrelated Surveillance Sources</w:t>
      </w:r>
    </w:p>
    <w:p>
      <w:pPr>
        <w:spacing w:after="80" w:before="80"/>
      </w:pPr>
      <w:r>
        <w:rPr>
          <w:rFonts w:ascii="Arial" w:cs="Arial" w:eastAsia="Arial" w:hAnsi="Arial"/>
          <w:sz w:val="22"/>
          <w:szCs w:val="22"/>
        </w:rPr>
        <w:t xml:space="preserve">The patent describes a system that aggregates video from sources with no prior relationship:</w:t>
      </w:r>
    </w:p>
    <w:p>
      <w:pPr>
        <w:pBdr>
          <w:left w:val="single" w:color="C00000" w:sz="6" w:space="12"/>
        </w:pBdr>
        <w:spacing w:after="120" w:before="120"/>
        <w:ind w:left="720" w:right="720"/>
      </w:pPr>
      <w:r>
        <w:rPr>
          <w:rFonts w:ascii="Arial" w:cs="Arial" w:eastAsia="Arial" w:hAnsi="Arial"/>
          <w:i/>
          <w:iCs/>
          <w:sz w:val="22"/>
          <w:szCs w:val="22"/>
        </w:rPr>
        <w:t xml:space="preserve">...embodiments of the system can leverage a dynamic geographic footprint defined by the geographic locations of unrelated surveillance devices configured to upload video streams to the system (such as surveillance cameras in a neighborhood watch system, store cameras at local convenience store, traffic monitoring cameras at a nearby street intersection, a smartphone associated with a pedestrian, etc).</w:t>
      </w:r>
    </w:p>
    <w:p>
      <w:pPr>
        <w:spacing w:after="60" w:before="60"/>
      </w:pPr>
      <w:r>
        <w:rPr>
          <w:rFonts w:ascii="Arial" w:cs="Arial" w:eastAsia="Arial" w:hAnsi="Arial"/>
          <w:color w:val="595959"/>
          <w:sz w:val="20"/>
          <w:szCs w:val="20"/>
        </w:rPr>
        <w:t xml:space="preserve">Source: US 11,416,545 B1, Page 16, Background/Summary</w:t>
      </w:r>
    </w:p>
    <w:p>
      <w:pPr>
        <w:spacing w:after="80" w:before="120"/>
      </w:pPr>
    </w:p>
    <w:p>
      <w:pPr>
        <w:spacing w:after="80" w:before="80"/>
      </w:pPr>
      <w:r>
        <w:rPr>
          <w:rFonts w:ascii="Arial" w:cs="Arial" w:eastAsia="Arial" w:hAnsi="Arial"/>
          <w:sz w:val="22"/>
          <w:szCs w:val="22"/>
        </w:rPr>
        <w:t xml:space="preserve">This means the DSOQ system is architecturally designed to incorporate footage from private Ring cameras, convenience stores, smartphones, and traffic cameras into the same database that law enforcement searches — without those device owners necessarily knowing their footage has been incorporated.</w:t>
      </w:r>
    </w:p>
    <w:p>
      <w:pPr>
        <w:spacing w:after="80" w:before="160"/>
      </w:pPr>
    </w:p>
    <w:p>
      <w:pPr>
        <w:pStyle w:val="Heading2"/>
        <w:spacing w:after="120" w:before="240"/>
      </w:pPr>
      <w:r>
        <w:rPr>
          <w:rFonts w:ascii="Arial" w:cs="Arial" w:eastAsia="Arial" w:hAnsi="Arial"/>
          <w:b/>
          <w:bCs/>
          <w:color w:val="2E5496"/>
          <w:sz w:val="26"/>
          <w:szCs w:val="26"/>
        </w:rPr>
        <w:t xml:space="preserve">5.2 Software-Update Capability Expansion</w:t>
      </w:r>
    </w:p>
    <w:p>
      <w:pPr>
        <w:spacing w:after="80" w:before="80"/>
      </w:pPr>
      <w:r>
        <w:rPr>
          <w:rFonts w:ascii="Arial" w:cs="Arial" w:eastAsia="Arial" w:hAnsi="Arial"/>
          <w:sz w:val="22"/>
          <w:szCs w:val="22"/>
        </w:rPr>
        <w:t xml:space="preserve">The patent explicitly describes the system as updateable via remote software pushes:</w:t>
      </w:r>
    </w:p>
    <w:p>
      <w:pPr>
        <w:pBdr>
          <w:left w:val="single" w:color="C00000" w:sz="6" w:space="12"/>
        </w:pBdr>
        <w:spacing w:after="120" w:before="120"/>
        <w:ind w:left="720" w:right="720"/>
      </w:pPr>
      <w:r>
        <w:rPr>
          <w:rFonts w:ascii="Arial" w:cs="Arial" w:eastAsia="Arial" w:hAnsi="Arial"/>
          <w:i/>
          <w:iCs/>
          <w:sz w:val="22"/>
          <w:szCs w:val="22"/>
        </w:rPr>
        <w:t xml:space="preserve">...embodiments of SD 101 configured for communication via a computer system...may leverage communications networks 130 including, but not limited to cellular networks, PSTNs, WiFi, cable networks, an intranet, and the Internet for, among other things, software upgrades, content updates, database queries, data transmission, etc.</w:t>
      </w:r>
    </w:p>
    <w:p>
      <w:pPr>
        <w:spacing w:after="60" w:before="60"/>
      </w:pPr>
      <w:r>
        <w:rPr>
          <w:rFonts w:ascii="Arial" w:cs="Arial" w:eastAsia="Arial" w:hAnsi="Arial"/>
          <w:color w:val="595959"/>
          <w:sz w:val="20"/>
          <w:szCs w:val="20"/>
        </w:rPr>
        <w:t xml:space="preserve">Source: US 11,416,545 B1, Page 20, Detailed Description (FIG. 2 description)</w:t>
      </w:r>
    </w:p>
    <w:p>
      <w:pPr>
        <w:spacing w:after="80" w:before="120"/>
      </w:pPr>
    </w:p>
    <w:p>
      <w:pPr>
        <w:shd w:fill="FFF2CC" w:val="clear"/>
        <w:spacing w:after="120" w:before="120"/>
      </w:pPr>
      <w:r>
        <w:rPr>
          <w:rFonts w:ascii="Arial" w:cs="Arial" w:eastAsia="Arial" w:hAnsi="Arial"/>
          <w:b/>
          <w:bCs/>
          <w:sz w:val="22"/>
          <w:szCs w:val="22"/>
        </w:rPr>
        <w:t xml:space="preserve">The system can receive capability updates over the network. Capabilities described in this patent — including facial recognition queries — can be activated on existing deployed hardware without any new hardware installation, and without any notification to or approval by the contracting agency.</w:t>
      </w:r>
    </w:p>
    <w:p>
      <w:pPr>
        <w:spacing w:after="80" w:before="160"/>
      </w:pPr>
    </w:p>
    <w:p>
      <w:pPr>
        <w:pStyle w:val="Heading2"/>
        <w:spacing w:after="120" w:before="240"/>
      </w:pPr>
      <w:r>
        <w:rPr>
          <w:rFonts w:ascii="Arial" w:cs="Arial" w:eastAsia="Arial" w:hAnsi="Arial"/>
          <w:b/>
          <w:bCs/>
          <w:color w:val="2E5496"/>
          <w:sz w:val="26"/>
          <w:szCs w:val="26"/>
        </w:rPr>
        <w:t xml:space="preserve">5.3 Opt-In Data Pull from Bystanders</w:t>
      </w:r>
    </w:p>
    <w:p>
      <w:pPr>
        <w:spacing w:after="80" w:before="80"/>
      </w:pPr>
      <w:r>
        <w:rPr>
          <w:rFonts w:ascii="Arial" w:cs="Arial" w:eastAsia="Arial" w:hAnsi="Arial"/>
          <w:sz w:val="22"/>
          <w:szCs w:val="22"/>
        </w:rPr>
        <w:t xml:space="preserve">The patent describes a mechanism for pulling video from non-participating devices in real time:</w:t>
      </w:r>
    </w:p>
    <w:p>
      <w:pPr>
        <w:pBdr>
          <w:left w:val="single" w:color="C00000" w:sz="6" w:space="12"/>
        </w:pBdr>
        <w:spacing w:after="120" w:before="120"/>
        <w:ind w:left="720" w:right="720"/>
      </w:pPr>
      <w:r>
        <w:rPr>
          <w:rFonts w:ascii="Arial" w:cs="Arial" w:eastAsia="Arial" w:hAnsi="Arial"/>
          <w:i/>
          <w:iCs/>
          <w:sz w:val="22"/>
          <w:szCs w:val="22"/>
        </w:rPr>
        <w:t xml:space="preserve">...a user of the DSOQ system may sent out requests to bystanders and/or video devices in a geographic zone of an event asking for the bystanders and/or video devices to 'opt-in' and share data with the DSOQ system.</w:t>
      </w:r>
    </w:p>
    <w:p>
      <w:pPr>
        <w:spacing w:after="60" w:before="60"/>
      </w:pPr>
      <w:r>
        <w:rPr>
          <w:rFonts w:ascii="Arial" w:cs="Arial" w:eastAsia="Arial" w:hAnsi="Arial"/>
          <w:color w:val="595959"/>
          <w:sz w:val="20"/>
          <w:szCs w:val="20"/>
        </w:rPr>
        <w:t xml:space="preserve">Source: US 11,416,545 B1, Page 26, Method 600 description</w:t>
      </w:r>
    </w:p>
    <w:p>
      <w:pPr>
        <w:spacing w:after="80" w:before="160"/>
      </w:pPr>
    </w:p>
    <w:p>
      <w:pPr>
        <w:pStyle w:val="Heading2"/>
        <w:spacing w:after="120" w:before="240"/>
      </w:pPr>
      <w:r>
        <w:rPr>
          <w:rFonts w:ascii="Arial" w:cs="Arial" w:eastAsia="Arial" w:hAnsi="Arial"/>
          <w:b/>
          <w:bCs/>
          <w:color w:val="2E5496"/>
          <w:sz w:val="26"/>
          <w:szCs w:val="26"/>
        </w:rPr>
        <w:t xml:space="preserve">5.4 Alert Triggering — Proactive Monitoring</w:t>
      </w:r>
    </w:p>
    <w:p>
      <w:pPr>
        <w:spacing w:after="80" w:before="80"/>
      </w:pPr>
      <w:r>
        <w:rPr>
          <w:rFonts w:ascii="Arial" w:cs="Arial" w:eastAsia="Arial" w:hAnsi="Arial"/>
          <w:sz w:val="22"/>
          <w:szCs w:val="22"/>
        </w:rPr>
        <w:t xml:space="preserve">Beyond reactive query, the patent describes proactive alert generation:</w:t>
      </w:r>
    </w:p>
    <w:p>
      <w:pPr>
        <w:pBdr>
          <w:left w:val="single" w:color="C00000" w:sz="6" w:space="12"/>
        </w:pBdr>
        <w:spacing w:after="120" w:before="120"/>
        <w:ind w:left="720" w:right="720"/>
      </w:pPr>
      <w:r>
        <w:rPr>
          <w:rFonts w:ascii="Arial" w:cs="Arial" w:eastAsia="Arial" w:hAnsi="Arial"/>
          <w:i/>
          <w:iCs/>
          <w:sz w:val="22"/>
          <w:szCs w:val="22"/>
        </w:rPr>
        <w:t xml:space="preserve">...the alert triggering module 158 may recognize that a person detected in a video segment by object detection module 154 to be at a certain location at a certain time is statistically similar to the teenage daughter of a subscriber to the DSOQ system and, in response, may cause an alert signal (e.g., an SMS communication) to be transmitted over network 130 to a smartphone associated with the subscriber.</w:t>
      </w:r>
    </w:p>
    <w:p>
      <w:pPr>
        <w:spacing w:after="60" w:before="60"/>
      </w:pPr>
      <w:r>
        <w:rPr>
          <w:rFonts w:ascii="Arial" w:cs="Arial" w:eastAsia="Arial" w:hAnsi="Arial"/>
          <w:color w:val="595959"/>
          <w:sz w:val="20"/>
          <w:szCs w:val="20"/>
        </w:rPr>
        <w:t xml:space="preserve">Source: US 11,416,545 B1, Page 20, Detailed Description</w:t>
      </w:r>
    </w:p>
    <w:p>
      <w:pPr>
        <w:spacing w:after="80" w:before="80"/>
      </w:pPr>
      <w:r>
        <w:rPr>
          <w:rFonts w:ascii="Arial" w:cs="Arial" w:eastAsia="Arial" w:hAnsi="Arial"/>
          <w:sz w:val="22"/>
          <w:szCs w:val="22"/>
        </w:rPr>
        <w:t xml:space="preserve">This describes a system that can be configured to send real-time alerts to private subscribers when a specific individual — identified by physical characteristics — is detected by any camera in the network.</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6: Patent Capabilities vs. Flock Public Marketing Claims</w:t>
      </w:r>
    </w:p>
    <w:p>
      <w:pPr>
        <w:spacing w:after="80" w:before="80"/>
      </w:pPr>
      <w:r>
        <w:rPr>
          <w:rFonts w:ascii="Arial" w:cs="Arial" w:eastAsia="Arial" w:hAnsi="Arial"/>
          <w:sz w:val="22"/>
          <w:szCs w:val="22"/>
        </w:rPr>
        <w:t xml:space="preserve">Flock Safety's public-facing marketing, agency contracts, and policy documentation consistently represent the system as a license plate reader that does not perform facial recognition or collect personally identifiable information. The patent record directly contradicts these representations.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Flock Public Marketing Claim</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What the Patent Actually Says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"We do not collect personal information, facial recognition, or anything tied to individuals."</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Patent describes explicit "face recognition data points" as a query input; the system classifies persons by gender, race, height, weight, and clothing. (Pages 19-20)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System is a "license plate reader" — a narrow, vehicle-focused tool.</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Patent describes four object classes: vehicles, persons, bicycles, animals — plus open-ended "Class n." Person classification includes race, gender, height, weight, and facial recognition. (Pages 10, 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Data stays local to the subscribing agency.</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Patent describes a "dynamic geographic footprint" pooling data from unrelated surveillance devices across any geography into a single searchable database. Capabilities can be updated remotely. (Pages 16,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30-day data retention policy protects privacy.</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Patent describes a historical analysis module that compares new detections against the full historical DSOQ database with no retention limit referenced in the patent architecture itself. The MSA permits up to one year retention. (Patent Pages 20-23; MSA Section 3.2)</w:t>
            </w:r>
          </w:p>
        </w:tc>
      </w:tr>
    </w:tbl>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7: YCSO Policy 433 Gap Analysis</w:t>
      </w:r>
    </w:p>
    <w:p>
      <w:pPr>
        <w:spacing w:after="80" w:before="80"/>
      </w:pPr>
      <w:r>
        <w:rPr>
          <w:rFonts w:ascii="Arial" w:cs="Arial" w:eastAsia="Arial" w:hAnsi="Arial"/>
          <w:sz w:val="22"/>
          <w:szCs w:val="22"/>
        </w:rPr>
        <w:t xml:space="preserve">YCSO Policy 433 (Automated License Plate Recognition System, October 2022) governs YCSO's use of the Flock Safety system. The policy was produced in response to CPRA Request 26-97. Comparing the policy against the patent record reveals critical governance gaps.</w:t>
      </w:r>
    </w:p>
    <w:p>
      <w:pPr>
        <w:spacing w:after="80" w:before="160"/>
      </w:pPr>
    </w:p>
    <w:p>
      <w:pPr>
        <w:pStyle w:val="Heading2"/>
        <w:spacing w:after="120" w:before="240"/>
      </w:pPr>
      <w:r>
        <w:rPr>
          <w:rFonts w:ascii="Arial" w:cs="Arial" w:eastAsia="Arial" w:hAnsi="Arial"/>
          <w:b/>
          <w:bCs/>
          <w:color w:val="2E5496"/>
          <w:sz w:val="26"/>
          <w:szCs w:val="26"/>
        </w:rPr>
        <w:t xml:space="preserve">7.1 Facial Recognition — Policy Silence</w:t>
      </w:r>
    </w:p>
    <w:p>
      <w:pPr>
        <w:spacing w:after="80" w:before="80"/>
      </w:pPr>
      <w:r>
        <w:rPr>
          <w:rFonts w:ascii="Arial" w:cs="Arial" w:eastAsia="Arial" w:hAnsi="Arial"/>
          <w:sz w:val="22"/>
          <w:szCs w:val="22"/>
        </w:rPr>
        <w:t xml:space="preserve">Policy 433 makes no reference to facial recognition capability, facial recognition data points as a query parameter, or any prohibition on using the DSOQ system's facial recognition query function. Given that US 11,416,545 B1 describes facial recognition as a standard investigative query input, the absence of any policy language governing this capability is a governance failure.</w:t>
      </w:r>
    </w:p>
    <w:p>
      <w:pPr>
        <w:spacing w:after="80" w:before="80"/>
      </w:pPr>
    </w:p>
    <w:p>
      <w:pPr>
        <w:spacing w:after="80" w:before="80"/>
      </w:pPr>
      <w:r>
        <w:rPr>
          <w:rFonts w:ascii="Arial" w:cs="Arial" w:eastAsia="Arial" w:hAnsi="Arial"/>
          <w:sz w:val="22"/>
          <w:szCs w:val="22"/>
        </w:rPr>
        <w:t xml:space="preserve">Specifically, Policy 433 is silent on:</w:t>
      </w:r>
    </w:p>
    <w:p>
      <w:pPr>
        <w:pStyle w:val="ListParagraph"/>
        <w:numPr>
          <w:ilvl w:val="0"/>
          <w:numId w:val="2"/>
        </w:numPr>
        <w:spacing w:after="60" w:before="60"/>
      </w:pPr>
      <w:r>
        <w:rPr>
          <w:rFonts w:ascii="Arial" w:cs="Arial" w:eastAsia="Arial" w:hAnsi="Arial"/>
          <w:sz w:val="22"/>
          <w:szCs w:val="22"/>
        </w:rPr>
        <w:t xml:space="preserve">Whether YCSO personnel may query the DSOQ system using face recognition data points</w:t>
      </w:r>
    </w:p>
    <w:p>
      <w:pPr>
        <w:pStyle w:val="ListParagraph"/>
        <w:numPr>
          <w:ilvl w:val="0"/>
          <w:numId w:val="2"/>
        </w:numPr>
        <w:spacing w:after="60" w:before="60"/>
      </w:pPr>
      <w:r>
        <w:rPr>
          <w:rFonts w:ascii="Arial" w:cs="Arial" w:eastAsia="Arial" w:hAnsi="Arial"/>
          <w:sz w:val="22"/>
          <w:szCs w:val="22"/>
        </w:rPr>
        <w:t xml:space="preserve">What authorization level is required to initiate a facial recognition query</w:t>
      </w:r>
    </w:p>
    <w:p>
      <w:pPr>
        <w:pStyle w:val="ListParagraph"/>
        <w:numPr>
          <w:ilvl w:val="0"/>
          <w:numId w:val="2"/>
        </w:numPr>
        <w:spacing w:after="60" w:before="60"/>
      </w:pPr>
      <w:r>
        <w:rPr>
          <w:rFonts w:ascii="Arial" w:cs="Arial" w:eastAsia="Arial" w:hAnsi="Arial"/>
          <w:sz w:val="22"/>
          <w:szCs w:val="22"/>
        </w:rPr>
        <w:t xml:space="preserve">Whether facial recognition queries must be logged and by whom</w:t>
      </w:r>
    </w:p>
    <w:p>
      <w:pPr>
        <w:pStyle w:val="ListParagraph"/>
        <w:numPr>
          <w:ilvl w:val="0"/>
          <w:numId w:val="2"/>
        </w:numPr>
        <w:spacing w:after="60" w:before="60"/>
      </w:pPr>
      <w:r>
        <w:rPr>
          <w:rFonts w:ascii="Arial" w:cs="Arial" w:eastAsia="Arial" w:hAnsi="Arial"/>
          <w:sz w:val="22"/>
          <w:szCs w:val="22"/>
        </w:rPr>
        <w:t xml:space="preserve">Whether Flock's backend platform has activated this capability in the Yuba County deployment</w:t>
      </w:r>
    </w:p>
    <w:p>
      <w:pPr>
        <w:pStyle w:val="ListParagraph"/>
        <w:numPr>
          <w:ilvl w:val="0"/>
          <w:numId w:val="2"/>
        </w:numPr>
        <w:spacing w:after="60" w:before="60"/>
      </w:pPr>
      <w:r>
        <w:rPr>
          <w:rFonts w:ascii="Arial" w:cs="Arial" w:eastAsia="Arial" w:hAnsi="Arial"/>
          <w:sz w:val="22"/>
          <w:szCs w:val="22"/>
        </w:rPr>
        <w:t xml:space="preserve">How YCSO would know if the capability were activated via a remote software update</w:t>
      </w:r>
    </w:p>
    <w:p>
      <w:pPr>
        <w:spacing w:after="80" w:before="160"/>
      </w:pPr>
    </w:p>
    <w:p>
      <w:pPr>
        <w:pStyle w:val="Heading2"/>
        <w:spacing w:after="120" w:before="240"/>
      </w:pPr>
      <w:r>
        <w:rPr>
          <w:rFonts w:ascii="Arial" w:cs="Arial" w:eastAsia="Arial" w:hAnsi="Arial"/>
          <w:b/>
          <w:bCs/>
          <w:color w:val="2E5496"/>
          <w:sz w:val="26"/>
          <w:szCs w:val="26"/>
        </w:rPr>
        <w:t xml:space="preserve">7.2 Person-Attribute Classification — Policy Silence</w:t>
      </w:r>
    </w:p>
    <w:p>
      <w:pPr>
        <w:spacing w:after="80" w:before="80"/>
      </w:pPr>
      <w:r>
        <w:rPr>
          <w:rFonts w:ascii="Arial" w:cs="Arial" w:eastAsia="Arial" w:hAnsi="Arial"/>
          <w:sz w:val="22"/>
          <w:szCs w:val="22"/>
        </w:rPr>
        <w:t xml:space="preserve">Policy 433 does not address the system's documented capability to classify persons by race, gender, height, weight, and clothing type. These are not incidental capabilities — they are core neural network classification outputs described in the patent's Figure 5A functional diagram. There is no policy language governing:</w:t>
      </w:r>
    </w:p>
    <w:p>
      <w:pPr>
        <w:pStyle w:val="ListParagraph"/>
        <w:numPr>
          <w:ilvl w:val="0"/>
          <w:numId w:val="2"/>
        </w:numPr>
        <w:spacing w:after="60" w:before="60"/>
      </w:pPr>
      <w:r>
        <w:rPr>
          <w:rFonts w:ascii="Arial" w:cs="Arial" w:eastAsia="Arial" w:hAnsi="Arial"/>
          <w:sz w:val="22"/>
          <w:szCs w:val="22"/>
        </w:rPr>
        <w:t xml:space="preserve">Whether person-attribute data is collected on Yuba County residents</w:t>
      </w:r>
    </w:p>
    <w:p>
      <w:pPr>
        <w:pStyle w:val="ListParagraph"/>
        <w:numPr>
          <w:ilvl w:val="0"/>
          <w:numId w:val="2"/>
        </w:numPr>
        <w:spacing w:after="60" w:before="60"/>
      </w:pPr>
      <w:r>
        <w:rPr>
          <w:rFonts w:ascii="Arial" w:cs="Arial" w:eastAsia="Arial" w:hAnsi="Arial"/>
          <w:sz w:val="22"/>
          <w:szCs w:val="22"/>
        </w:rPr>
        <w:t xml:space="preserve">Whether race is used as a search parameter</w:t>
      </w:r>
    </w:p>
    <w:p>
      <w:pPr>
        <w:pStyle w:val="ListParagraph"/>
        <w:numPr>
          <w:ilvl w:val="0"/>
          <w:numId w:val="2"/>
        </w:numPr>
        <w:spacing w:after="60" w:before="60"/>
      </w:pPr>
      <w:r>
        <w:rPr>
          <w:rFonts w:ascii="Arial" w:cs="Arial" w:eastAsia="Arial" w:hAnsi="Arial"/>
          <w:sz w:val="22"/>
          <w:szCs w:val="22"/>
        </w:rPr>
        <w:t xml:space="preserve">How person-attribute classification data is stored, retained, or purged</w:t>
      </w:r>
    </w:p>
    <w:p>
      <w:pPr>
        <w:pStyle w:val="ListParagraph"/>
        <w:numPr>
          <w:ilvl w:val="0"/>
          <w:numId w:val="2"/>
        </w:numPr>
        <w:spacing w:after="60" w:before="60"/>
      </w:pPr>
      <w:r>
        <w:rPr>
          <w:rFonts w:ascii="Arial" w:cs="Arial" w:eastAsia="Arial" w:hAnsi="Arial"/>
          <w:sz w:val="22"/>
          <w:szCs w:val="22"/>
        </w:rPr>
        <w:t xml:space="preserve">Whether such data is shared with partner agencies through the network sharing function</w:t>
      </w:r>
    </w:p>
    <w:p>
      <w:pPr>
        <w:spacing w:after="80" w:before="160"/>
      </w:pPr>
    </w:p>
    <w:p>
      <w:pPr>
        <w:pStyle w:val="Heading2"/>
        <w:spacing w:after="120" w:before="240"/>
      </w:pPr>
      <w:r>
        <w:rPr>
          <w:rFonts w:ascii="Arial" w:cs="Arial" w:eastAsia="Arial" w:hAnsi="Arial"/>
          <w:b/>
          <w:bCs/>
          <w:color w:val="2E5496"/>
          <w:sz w:val="26"/>
          <w:szCs w:val="26"/>
        </w:rPr>
        <w:t xml:space="preserve">7.3 Software Update Governance — Policy Silence</w:t>
      </w:r>
    </w:p>
    <w:p>
      <w:pPr>
        <w:spacing w:after="80" w:before="80"/>
      </w:pPr>
      <w:r>
        <w:rPr>
          <w:rFonts w:ascii="Arial" w:cs="Arial" w:eastAsia="Arial" w:hAnsi="Arial"/>
          <w:sz w:val="22"/>
          <w:szCs w:val="22"/>
        </w:rPr>
        <w:t xml:space="preserve">The patent describes a system that receives remote capability updates over the network. Policy 433 contains no provision requiring YCSO to be notified when Flock pushes software updates to deployed cameras, no requirement for YCSO review of capability changes, and no mechanism for YCSO to audit what neural network models are active in their deployment at any given time.</w:t>
      </w:r>
    </w:p>
    <w:p>
      <w:pPr>
        <w:spacing w:after="80" w:before="80"/>
      </w:pPr>
      <w:r>
        <w:rPr>
          <w:rFonts w:ascii="Arial" w:cs="Arial" w:eastAsia="Arial" w:hAnsi="Arial"/>
          <w:sz w:val="22"/>
          <w:szCs w:val="22"/>
        </w:rPr>
        <w:t xml:space="preserve">This creates a structural accountability gap: YCSO's written policy governs a static feature set, but the deployed system can receive capability expansions without any YCSO action, decision, or documentation.</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8: SB 34 Compliance Implications</w:t>
      </w:r>
    </w:p>
    <w:p>
      <w:pPr>
        <w:spacing w:after="80" w:before="80"/>
      </w:pPr>
      <w:r>
        <w:rPr>
          <w:rFonts w:ascii="Arial" w:cs="Arial" w:eastAsia="Arial" w:hAnsi="Arial"/>
          <w:sz w:val="22"/>
          <w:szCs w:val="22"/>
        </w:rPr>
        <w:t xml:space="preserve">California Vehicle Code Section 2413 (SB 34) requires ALPR operators to maintain a usage and privacy policy, log all ALPR searches with reason and authorized user, and make audit logs available for inspection. The patent's capabilities create specific SB 34 compliance questions that remain unresolved in YCSO's produced documentation.</w:t>
      </w:r>
    </w:p>
    <w:p>
      <w:pPr>
        <w:spacing w:after="80" w:before="160"/>
      </w:pPr>
    </w:p>
    <w:p>
      <w:pPr>
        <w:pStyle w:val="ListParagraph"/>
        <w:numPr>
          <w:ilvl w:val="0"/>
          <w:numId w:val="2"/>
        </w:numPr>
        <w:spacing w:after="60" w:before="60"/>
      </w:pPr>
      <w:r>
        <w:rPr>
          <w:rFonts w:ascii="Arial" w:cs="Arial" w:eastAsia="Arial" w:hAnsi="Arial"/>
          <w:sz w:val="22"/>
          <w:szCs w:val="22"/>
        </w:rPr>
        <w:t xml:space="preserve">If YCSO personnel use the DSOQ system to query by face recognition data points — a function explicitly described in the patent — is that query logged as an ALPR system access under SB 34? Current audit logs produced by Flock's transparency portal do not appear to capture query type or parameters.</w:t>
      </w:r>
    </w:p>
    <w:p>
      <w:pPr>
        <w:pStyle w:val="ListParagraph"/>
        <w:numPr>
          <w:ilvl w:val="0"/>
          <w:numId w:val="2"/>
        </w:numPr>
        <w:spacing w:after="60" w:before="60"/>
      </w:pPr>
      <w:r>
        <w:rPr>
          <w:rFonts w:ascii="Arial" w:cs="Arial" w:eastAsia="Arial" w:hAnsi="Arial"/>
          <w:sz w:val="22"/>
          <w:szCs w:val="22"/>
        </w:rPr>
        <w:t xml:space="preserve">If the system classifies persons by race during image analysis — as the patent's neural networks are designed to do — is that collection of biometric-adjacent data disclosed in YCSO's SB 34 usage policy? The produced Policy 433 does not reference person-attribute classification.</w:t>
      </w:r>
    </w:p>
    <w:p>
      <w:pPr>
        <w:pStyle w:val="ListParagraph"/>
        <w:numPr>
          <w:ilvl w:val="0"/>
          <w:numId w:val="2"/>
        </w:numPr>
        <w:spacing w:after="60" w:before="60"/>
      </w:pPr>
      <w:r>
        <w:rPr>
          <w:rFonts w:ascii="Arial" w:cs="Arial" w:eastAsia="Arial" w:hAnsi="Arial"/>
          <w:sz w:val="22"/>
          <w:szCs w:val="22"/>
        </w:rPr>
        <w:t xml:space="preserve">The MSA's SB 34 compliance warranty (Section 3.2) places compliance responsibility affirmatively on YCSO. Flock's December 2025 platform changes that eliminated officer-level free-text logging did not relieve YCSO of this obligation. If the platform's capabilities exceed what the policy discloses, the SB 34 compliance warranty is potentially breached.</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9: Key Verbatim Patent Quotes — Ready for Citation</w:t>
      </w:r>
    </w:p>
    <w:p>
      <w:pPr>
        <w:spacing w:after="80" w:before="80"/>
      </w:pPr>
      <w:r>
        <w:rPr>
          <w:rFonts w:ascii="Arial" w:cs="Arial" w:eastAsia="Arial" w:hAnsi="Arial"/>
          <w:sz w:val="22"/>
          <w:szCs w:val="22"/>
        </w:rPr>
        <w:t xml:space="preserve">The following direct quotes from US 11,416,545 B1 are suitable for citation in BOS public comment, media outreach, or CPRA correspondence. Each is taken verbatim from the patent text with page citation.</w:t>
      </w:r>
    </w:p>
    <w:p>
      <w:pPr>
        <w:spacing w:after="80" w:before="160"/>
      </w:pPr>
    </w:p>
    <w:p>
      <w:pPr>
        <w:spacing w:after="80" w:before="200"/>
      </w:pPr>
      <w:r>
        <w:rPr>
          <w:rFonts w:ascii="Arial" w:cs="Arial" w:eastAsia="Arial" w:hAnsi="Arial"/>
          <w:b/>
          <w:bCs/>
          <w:color w:val="2E5496"/>
          <w:sz w:val="24"/>
          <w:szCs w:val="24"/>
        </w:rPr>
        <w:t xml:space="preserve">On Facial Recognition:</w:t>
      </w:r>
    </w:p>
    <w:p>
      <w:pPr>
        <w:pBdr>
          <w:left w:val="single" w:color="C00000" w:sz="6" w:space="12"/>
        </w:pBdr>
        <w:spacing w:after="120" w:before="120"/>
        <w:ind w:left="720" w:right="720"/>
      </w:pPr>
      <w:r>
        <w:rPr>
          <w:rFonts w:ascii="Arial" w:cs="Arial" w:eastAsia="Arial" w:hAnsi="Arial"/>
          <w:i/>
          <w:iCs/>
          <w:sz w:val="22"/>
          <w:szCs w:val="22"/>
        </w:rPr>
        <w:t xml:space="preserve">"...investigators may be able to identify the face of the driver of red car #1 when he purchased the candy bar. Now, with face recognition data points, the investigators may be able to query the DSOQ system for any footage captured by HSS-1 or HSS-2 having a person with matching face recognition data points."</w:t>
      </w:r>
    </w:p>
    <w:p>
      <w:pPr>
        <w:spacing w:after="60" w:before="60"/>
      </w:pPr>
      <w:r>
        <w:rPr>
          <w:rFonts w:ascii="Arial" w:cs="Arial" w:eastAsia="Arial" w:hAnsi="Arial"/>
          <w:color w:val="595959"/>
          <w:sz w:val="20"/>
          <w:szCs w:val="20"/>
        </w:rPr>
        <w:t xml:space="preserve">— US 11,416,545 B1, Pages 19-20, Detailed Description</w:t>
      </w:r>
    </w:p>
    <w:p>
      <w:pPr>
        <w:spacing w:after="80" w:before="120"/>
      </w:pPr>
    </w:p>
    <w:p>
      <w:pPr>
        <w:spacing w:after="80" w:before="200"/>
      </w:pPr>
      <w:r>
        <w:rPr>
          <w:rFonts w:ascii="Arial" w:cs="Arial" w:eastAsia="Arial" w:hAnsi="Arial"/>
          <w:b/>
          <w:bCs/>
          <w:color w:val="2E5496"/>
          <w:sz w:val="24"/>
          <w:szCs w:val="24"/>
        </w:rPr>
        <w:t xml:space="preserve">On Race Classification:</w:t>
      </w:r>
    </w:p>
    <w:p>
      <w:pPr>
        <w:pBdr>
          <w:left w:val="single" w:color="C00000" w:sz="6" w:space="12"/>
        </w:pBdr>
        <w:spacing w:after="120" w:before="120"/>
        <w:ind w:left="720" w:right="720"/>
      </w:pPr>
      <w:r>
        <w:rPr>
          <w:rFonts w:ascii="Arial" w:cs="Arial" w:eastAsia="Arial" w:hAnsi="Arial"/>
          <w:i/>
          <w:iCs/>
          <w:sz w:val="22"/>
          <w:szCs w:val="22"/>
        </w:rPr>
        <w:t xml:space="preserve">"...the object detection module 154 may further analyze the image 501 using a neural network module 507B configured to identify different classes of people (male, female, race, etc.)"</w:t>
      </w:r>
    </w:p>
    <w:p>
      <w:pPr>
        <w:spacing w:after="60" w:before="60"/>
      </w:pPr>
      <w:r>
        <w:rPr>
          <w:rFonts w:ascii="Arial" w:cs="Arial" w:eastAsia="Arial" w:hAnsi="Arial"/>
          <w:color w:val="595959"/>
          <w:sz w:val="20"/>
          <w:szCs w:val="20"/>
        </w:rPr>
        <w:t xml:space="preserve">— US 11,416,545 B1, Page 19, Detailed Description (FIG. 5A description)</w:t>
      </w:r>
    </w:p>
    <w:p>
      <w:pPr>
        <w:spacing w:after="80" w:before="120"/>
      </w:pPr>
    </w:p>
    <w:p>
      <w:pPr>
        <w:spacing w:after="80" w:before="200"/>
      </w:pPr>
      <w:r>
        <w:rPr>
          <w:rFonts w:ascii="Arial" w:cs="Arial" w:eastAsia="Arial" w:hAnsi="Arial"/>
          <w:b/>
          <w:bCs/>
          <w:color w:val="2E5496"/>
          <w:sz w:val="24"/>
          <w:szCs w:val="24"/>
        </w:rPr>
        <w:t xml:space="preserve">On Height/Weight Classification:</w:t>
      </w:r>
    </w:p>
    <w:p>
      <w:pPr>
        <w:pBdr>
          <w:left w:val="single" w:color="C00000" w:sz="6" w:space="12"/>
        </w:pBdr>
        <w:spacing w:after="120" w:before="120"/>
        <w:ind w:left="720" w:right="720"/>
      </w:pPr>
      <w:r>
        <w:rPr>
          <w:rFonts w:ascii="Arial" w:cs="Arial" w:eastAsia="Arial" w:hAnsi="Arial"/>
          <w:i/>
          <w:iCs/>
          <w:sz w:val="22"/>
          <w:szCs w:val="22"/>
        </w:rPr>
        <w:t xml:space="preserve">"...a neural network 509ZZ for gauging height and weight."</w:t>
      </w:r>
    </w:p>
    <w:p>
      <w:pPr>
        <w:spacing w:after="60" w:before="60"/>
      </w:pPr>
      <w:r>
        <w:rPr>
          <w:rFonts w:ascii="Arial" w:cs="Arial" w:eastAsia="Arial" w:hAnsi="Arial"/>
          <w:color w:val="595959"/>
          <w:sz w:val="20"/>
          <w:szCs w:val="20"/>
        </w:rPr>
        <w:t xml:space="preserve">— US 11,416,545 B1, Page 19, Detailed Description</w:t>
      </w:r>
    </w:p>
    <w:p>
      <w:pPr>
        <w:spacing w:after="80" w:before="120"/>
      </w:pPr>
    </w:p>
    <w:p>
      <w:pPr>
        <w:spacing w:after="80" w:before="200"/>
      </w:pPr>
      <w:r>
        <w:rPr>
          <w:rFonts w:ascii="Arial" w:cs="Arial" w:eastAsia="Arial" w:hAnsi="Arial"/>
          <w:b/>
          <w:bCs/>
          <w:color w:val="2E5496"/>
          <w:sz w:val="24"/>
          <w:szCs w:val="24"/>
        </w:rPr>
        <w:t xml:space="preserve">On Network-Wide Cross-Agency Queryability:</w:t>
      </w:r>
    </w:p>
    <w:p>
      <w:pPr>
        <w:pBdr>
          <w:left w:val="single" w:color="C00000" w:sz="6" w:space="12"/>
        </w:pBdr>
        <w:spacing w:after="120" w:before="120"/>
        <w:ind w:left="720" w:right="720"/>
      </w:pPr>
      <w:r>
        <w:rPr>
          <w:rFonts w:ascii="Arial" w:cs="Arial" w:eastAsia="Arial" w:hAnsi="Arial"/>
          <w:i/>
          <w:iCs/>
          <w:sz w:val="22"/>
          <w:szCs w:val="22"/>
        </w:rPr>
        <w:t xml:space="preserve">"...embodiments of the system can leverage a dynamic geographic footprint defined by the geographic locations of unrelated surveillance devices configured to upload video streams to the system..."</w:t>
      </w:r>
    </w:p>
    <w:p>
      <w:pPr>
        <w:spacing w:after="60" w:before="60"/>
      </w:pPr>
      <w:r>
        <w:rPr>
          <w:rFonts w:ascii="Arial" w:cs="Arial" w:eastAsia="Arial" w:hAnsi="Arial"/>
          <w:color w:val="595959"/>
          <w:sz w:val="20"/>
          <w:szCs w:val="20"/>
        </w:rPr>
        <w:t xml:space="preserve">— US 11,416,545 B1, Page 16, Summary of the Disclosure</w:t>
      </w:r>
    </w:p>
    <w:p>
      <w:pPr>
        <w:spacing w:after="80" w:before="120"/>
      </w:pPr>
    </w:p>
    <w:p>
      <w:pPr>
        <w:spacing w:after="80" w:before="200"/>
      </w:pPr>
      <w:r>
        <w:rPr>
          <w:rFonts w:ascii="Arial" w:cs="Arial" w:eastAsia="Arial" w:hAnsi="Arial"/>
          <w:b/>
          <w:bCs/>
          <w:color w:val="2E5496"/>
          <w:sz w:val="24"/>
          <w:szCs w:val="24"/>
        </w:rPr>
        <w:t xml:space="preserve">On Remote Software Update Capability:</w:t>
      </w:r>
    </w:p>
    <w:p>
      <w:pPr>
        <w:pBdr>
          <w:left w:val="single" w:color="C00000" w:sz="6" w:space="12"/>
        </w:pBdr>
        <w:spacing w:after="120" w:before="120"/>
        <w:ind w:left="720" w:right="720"/>
      </w:pPr>
      <w:r>
        <w:rPr>
          <w:rFonts w:ascii="Arial" w:cs="Arial" w:eastAsia="Arial" w:hAnsi="Arial"/>
          <w:i/>
          <w:iCs/>
          <w:sz w:val="22"/>
          <w:szCs w:val="22"/>
        </w:rPr>
        <w:t xml:space="preserve">"...embodiments of SD 101 configured for communication via a computer system...may leverage communications networks 130...for, among other things, software upgrades, content updates, database queries, data transmission, etc."</w:t>
      </w:r>
    </w:p>
    <w:p>
      <w:pPr>
        <w:spacing w:after="60" w:before="60"/>
      </w:pPr>
      <w:r>
        <w:rPr>
          <w:rFonts w:ascii="Arial" w:cs="Arial" w:eastAsia="Arial" w:hAnsi="Arial"/>
          <w:color w:val="595959"/>
          <w:sz w:val="20"/>
          <w:szCs w:val="20"/>
        </w:rPr>
        <w:t xml:space="preserve">— US 11,416,545 B1, Page 20, Detailed Description</w:t>
      </w:r>
    </w:p>
    <w:p>
      <w:pPr>
        <w:spacing w:after="80" w:before="120"/>
      </w:pPr>
    </w:p>
    <w:p>
      <w:pPr>
        <w:spacing w:after="80" w:before="200"/>
      </w:pPr>
      <w:r>
        <w:rPr>
          <w:rFonts w:ascii="Arial" w:cs="Arial" w:eastAsia="Arial" w:hAnsi="Arial"/>
          <w:b/>
          <w:bCs/>
          <w:color w:val="2E5496"/>
          <w:sz w:val="24"/>
          <w:szCs w:val="24"/>
        </w:rPr>
        <w:t xml:space="preserve">On Proactive Individual Tracking / Alert Triggering:</w:t>
      </w:r>
    </w:p>
    <w:p>
      <w:pPr>
        <w:pBdr>
          <w:left w:val="single" w:color="C00000" w:sz="6" w:space="12"/>
        </w:pBdr>
        <w:spacing w:after="120" w:before="120"/>
        <w:ind w:left="720" w:right="720"/>
      </w:pPr>
      <w:r>
        <w:rPr>
          <w:rFonts w:ascii="Arial" w:cs="Arial" w:eastAsia="Arial" w:hAnsi="Arial"/>
          <w:i/>
          <w:iCs/>
          <w:sz w:val="22"/>
          <w:szCs w:val="22"/>
        </w:rPr>
        <w:t xml:space="preserve">"...the alert triggering module 158 may recognize that a person detected in a video segment by object detection module 154 to be at a certain location at a certain time is statistically similar to the teenage daughter of a subscriber to the DSOQ system and, in response, may cause an alert signal (e.g., an SMS communication) to be transmitted over network 130 to a smartphone associated with the subscriber."</w:t>
      </w:r>
    </w:p>
    <w:p>
      <w:pPr>
        <w:spacing w:after="60" w:before="60"/>
      </w:pPr>
      <w:r>
        <w:rPr>
          <w:rFonts w:ascii="Arial" w:cs="Arial" w:eastAsia="Arial" w:hAnsi="Arial"/>
          <w:color w:val="595959"/>
          <w:sz w:val="20"/>
          <w:szCs w:val="20"/>
        </w:rPr>
        <w:t xml:space="preserve">— US 11,416,545 B1, Page 20, Detailed Description</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10: Recommended Framing for Board of Supervisors</w:t>
      </w:r>
    </w:p>
    <w:p>
      <w:pPr>
        <w:spacing w:after="80" w:before="80"/>
      </w:pPr>
      <w:r>
        <w:rPr>
          <w:rFonts w:ascii="Arial" w:cs="Arial" w:eastAsia="Arial" w:hAnsi="Arial"/>
          <w:sz w:val="22"/>
          <w:szCs w:val="22"/>
        </w:rPr>
        <w:t xml:space="preserve">The following framing is recommended for public comment and media outreach. It leads with accountability and liability — not civil liberties — consistent with the investigative strategy.</w:t>
      </w:r>
    </w:p>
    <w:p>
      <w:pPr>
        <w:spacing w:after="80" w:before="160"/>
      </w:pPr>
    </w:p>
    <w:p>
      <w:pPr>
        <w:pStyle w:val="Heading2"/>
        <w:spacing w:after="120" w:before="240"/>
      </w:pPr>
      <w:r>
        <w:rPr>
          <w:rFonts w:ascii="Arial" w:cs="Arial" w:eastAsia="Arial" w:hAnsi="Arial"/>
          <w:b/>
          <w:bCs/>
          <w:color w:val="2E5496"/>
          <w:sz w:val="26"/>
          <w:szCs w:val="26"/>
        </w:rPr>
        <w:t xml:space="preserve">Primary Argument</w:t>
      </w:r>
    </w:p>
    <w:p>
      <w:pPr>
        <w:spacing w:after="80" w:before="80"/>
      </w:pPr>
      <w:r>
        <w:rPr>
          <w:rFonts w:ascii="Arial" w:cs="Arial" w:eastAsia="Arial" w:hAnsi="Arial"/>
          <w:sz w:val="22"/>
          <w:szCs w:val="22"/>
        </w:rPr>
        <w:t xml:space="preserve">Yuba County contracted for a system marketed as a license plate reader. The company's own patent — US 11,416,545 B1, granted by the USPTO in August 2022, with Flock Group Inc. as assignee — describes a system with facial recognition query capability, race classification neural networks, height and weight classification, and architecture designed to aggregate footage from private devices across any geography into a single searchable database.</w:t>
      </w:r>
    </w:p>
    <w:p>
      <w:pPr>
        <w:spacing w:after="80" w:before="80"/>
      </w:pPr>
      <w:r>
        <w:rPr>
          <w:rFonts w:ascii="Arial" w:cs="Arial" w:eastAsia="Arial" w:hAnsi="Arial"/>
          <w:sz w:val="22"/>
          <w:szCs w:val="22"/>
        </w:rPr>
        <w:t xml:space="preserve">YCSO's Policy 433 does not govern these capabilities. The MSA places SB 34 compliance responsibility affirmatively on YCSO. The Board should ask: what capabilities are active in Yuba County's deployment right now, and what would it take for Flock to activate additional capabilities described in this patent?</w:t>
      </w:r>
    </w:p>
    <w:p>
      <w:pPr>
        <w:spacing w:after="80" w:before="160"/>
      </w:pPr>
    </w:p>
    <w:p>
      <w:pPr>
        <w:pStyle w:val="Heading2"/>
        <w:spacing w:after="120" w:before="240"/>
      </w:pPr>
      <w:r>
        <w:rPr>
          <w:rFonts w:ascii="Arial" w:cs="Arial" w:eastAsia="Arial" w:hAnsi="Arial"/>
          <w:b/>
          <w:bCs/>
          <w:color w:val="2E5496"/>
          <w:sz w:val="26"/>
          <w:szCs w:val="26"/>
        </w:rPr>
        <w:t xml:space="preserve">The Accountability Question for the Board</w:t>
      </w:r>
    </w:p>
    <w:p>
      <w:pPr>
        <w:pStyle w:val="ListParagraph"/>
        <w:numPr>
          <w:ilvl w:val="0"/>
          <w:numId w:val="2"/>
        </w:numPr>
        <w:spacing w:after="60" w:before="60"/>
      </w:pPr>
      <w:r>
        <w:rPr>
          <w:rFonts w:ascii="Arial" w:cs="Arial" w:eastAsia="Arial" w:hAnsi="Arial"/>
          <w:sz w:val="22"/>
          <w:szCs w:val="22"/>
        </w:rPr>
        <w:t xml:space="preserve">Has YCSO reviewed US Patent 11,416,545 B1 and confirmed which described capabilities are active in the Yuba County deployment?</w:t>
      </w:r>
    </w:p>
    <w:p>
      <w:pPr>
        <w:pStyle w:val="ListParagraph"/>
        <w:numPr>
          <w:ilvl w:val="0"/>
          <w:numId w:val="2"/>
        </w:numPr>
        <w:spacing w:after="60" w:before="60"/>
      </w:pPr>
      <w:r>
        <w:rPr>
          <w:rFonts w:ascii="Arial" w:cs="Arial" w:eastAsia="Arial" w:hAnsi="Arial"/>
          <w:sz w:val="22"/>
          <w:szCs w:val="22"/>
        </w:rPr>
        <w:t xml:space="preserve">Does YCSO receive notification when Flock pushes software updates to deployed cameras, and does any such notification require Board approval?</w:t>
      </w:r>
    </w:p>
    <w:p>
      <w:pPr>
        <w:pStyle w:val="ListParagraph"/>
        <w:numPr>
          <w:ilvl w:val="0"/>
          <w:numId w:val="2"/>
        </w:numPr>
        <w:spacing w:after="60" w:before="60"/>
      </w:pPr>
      <w:r>
        <w:rPr>
          <w:rFonts w:ascii="Arial" w:cs="Arial" w:eastAsia="Arial" w:hAnsi="Arial"/>
          <w:sz w:val="22"/>
          <w:szCs w:val="22"/>
        </w:rPr>
        <w:t xml:space="preserve">If Flock activates the facial recognition query function described in the patent, would that be disclosed in the Transparency Portal audit logs currently cited by YCSO as its SB 34 compliance mechanism?</w:t>
      </w:r>
    </w:p>
    <w:p>
      <w:pPr>
        <w:pStyle w:val="ListParagraph"/>
        <w:numPr>
          <w:ilvl w:val="0"/>
          <w:numId w:val="2"/>
        </w:numPr>
        <w:spacing w:after="60" w:before="60"/>
      </w:pPr>
      <w:r>
        <w:rPr>
          <w:rFonts w:ascii="Arial" w:cs="Arial" w:eastAsia="Arial" w:hAnsi="Arial"/>
          <w:sz w:val="22"/>
          <w:szCs w:val="22"/>
        </w:rPr>
        <w:t xml:space="preserve">What is the County's liability exposure if a resident is misidentified using the facial recognition capability described in the patent — a technology the ACLU has documented producing at least 14 wrongful arrests nationally?</w:t>
      </w:r>
    </w:p>
    <w:p>
      <w:pPr>
        <w:spacing w:after="80" w:before="160"/>
      </w:pPr>
    </w:p>
    <w:p>
      <w:pPr>
        <w:pStyle w:val="Heading2"/>
        <w:spacing w:after="120" w:before="240"/>
      </w:pPr>
      <w:r>
        <w:rPr>
          <w:rFonts w:ascii="Arial" w:cs="Arial" w:eastAsia="Arial" w:hAnsi="Arial"/>
          <w:b/>
          <w:bCs/>
          <w:color w:val="2E5496"/>
          <w:sz w:val="26"/>
          <w:szCs w:val="26"/>
        </w:rPr>
        <w:t xml:space="preserve">For Media: The One-Sentence Frame</w:t>
      </w:r>
    </w:p>
    <w:p>
      <w:pPr>
        <w:spacing w:after="80" w:before="80"/>
      </w:pPr>
      <w:r>
        <w:rPr>
          <w:rFonts w:ascii="Arial" w:cs="Arial" w:eastAsia="Arial" w:hAnsi="Arial"/>
          <w:sz w:val="22"/>
          <w:szCs w:val="22"/>
        </w:rPr>
        <w:t xml:space="preserve">"Flock Safety tells Plumas Lake residents their cameras only read license plates — but the company's own 2022 patent, signed by CEO Garrett Langley and granted by the US Patent Office, describes a system that classifies people by race, identifies faces across multiple cameras, and can receive capability expansions via remote software update without the county's knowledge."</w:t>
      </w:r>
    </w:p>
    <w:p>
      <w:pPr>
        <w:pBdr>
          <w:bottom w:val="single" w:color="CCCCCC" w:sz="4" w:space="1"/>
        </w:pBdr>
        <w:spacing w:after="200" w:before="200"/>
      </w:pPr>
    </w:p>
    <w:p>
      <w:pPr>
        <w:pStyle w:val="Heading1"/>
        <w:spacing w:after="160" w:before="320"/>
      </w:pPr>
      <w:r>
        <w:rPr>
          <w:rFonts w:ascii="Arial" w:cs="Arial" w:eastAsia="Arial" w:hAnsi="Arial"/>
          <w:b/>
          <w:bCs/>
          <w:color w:val="1F3864"/>
          <w:sz w:val="32"/>
          <w:szCs w:val="32"/>
        </w:rPr>
        <w:t xml:space="preserve">Section 11: Source Verification — How to Confirm This Independently</w:t>
      </w:r>
    </w:p>
    <w:p>
      <w:pPr>
        <w:spacing w:after="80" w:before="80"/>
      </w:pPr>
      <w:r>
        <w:rPr>
          <w:rFonts w:ascii="Arial" w:cs="Arial" w:eastAsia="Arial" w:hAnsi="Arial"/>
          <w:sz w:val="22"/>
          <w:szCs w:val="22"/>
        </w:rPr>
        <w:t xml:space="preserve">This analysis is based entirely on the primary USPTO source. Any journalist, supervisor, or county attorney can independently verify every claim in this document within minutes:</w:t>
      </w:r>
    </w:p>
    <w:p>
      <w:pPr>
        <w:spacing w:after="80" w:before="120"/>
      </w:pPr>
    </w:p>
    <w:p>
      <w:pPr>
        <w:pStyle w:val="ListParagraph"/>
        <w:numPr>
          <w:ilvl w:val="0"/>
          <w:numId w:val="2"/>
        </w:numPr>
        <w:spacing w:after="60" w:before="60"/>
      </w:pPr>
      <w:r>
        <w:rPr>
          <w:rFonts w:ascii="Arial" w:cs="Arial" w:eastAsia="Arial" w:hAnsi="Arial"/>
          <w:sz w:val="22"/>
          <w:szCs w:val="22"/>
        </w:rPr>
        <w:t xml:space="preserve">Go to ppubs.uspto.gov (USPTO Patent Public Search — official US government site)</w:t>
      </w:r>
    </w:p>
    <w:p>
      <w:pPr>
        <w:pStyle w:val="ListParagraph"/>
        <w:numPr>
          <w:ilvl w:val="0"/>
          <w:numId w:val="2"/>
        </w:numPr>
        <w:spacing w:after="60" w:before="60"/>
      </w:pPr>
      <w:r>
        <w:rPr>
          <w:rFonts w:ascii="Arial" w:cs="Arial" w:eastAsia="Arial" w:hAnsi="Arial"/>
          <w:sz w:val="22"/>
          <w:szCs w:val="22"/>
        </w:rPr>
        <w:t xml:space="preserve">Enter patent number: 11416545</w:t>
      </w:r>
    </w:p>
    <w:p>
      <w:pPr>
        <w:pStyle w:val="ListParagraph"/>
        <w:numPr>
          <w:ilvl w:val="0"/>
          <w:numId w:val="2"/>
        </w:numPr>
        <w:spacing w:after="60" w:before="60"/>
      </w:pPr>
      <w:r>
        <w:rPr>
          <w:rFonts w:ascii="Arial" w:cs="Arial" w:eastAsia="Arial" w:hAnsi="Arial"/>
          <w:sz w:val="22"/>
          <w:szCs w:val="22"/>
        </w:rPr>
        <w:t xml:space="preserve">Select the result and download the full PDF — it carries the USPTO government imprimatur</w:t>
      </w:r>
    </w:p>
    <w:p>
      <w:pPr>
        <w:pStyle w:val="ListParagraph"/>
        <w:numPr>
          <w:ilvl w:val="0"/>
          <w:numId w:val="2"/>
        </w:numPr>
        <w:spacing w:after="60" w:before="60"/>
      </w:pPr>
      <w:r>
        <w:rPr>
          <w:rFonts w:ascii="Arial" w:cs="Arial" w:eastAsia="Arial" w:hAnsi="Arial"/>
          <w:sz w:val="22"/>
          <w:szCs w:val="22"/>
        </w:rPr>
        <w:t xml:space="preserve">The facial recognition passage is in the body text on Pages 19-20 of the document</w:t>
      </w:r>
    </w:p>
    <w:p>
      <w:pPr>
        <w:pStyle w:val="ListParagraph"/>
        <w:numPr>
          <w:ilvl w:val="0"/>
          <w:numId w:val="2"/>
        </w:numPr>
        <w:spacing w:after="60" w:before="60"/>
      </w:pPr>
      <w:r>
        <w:rPr>
          <w:rFonts w:ascii="Arial" w:cs="Arial" w:eastAsia="Arial" w:hAnsi="Arial"/>
          <w:sz w:val="22"/>
          <w:szCs w:val="22"/>
        </w:rPr>
        <w:t xml:space="preserve">The race/gender/height/weight classification is on Page 19 (FIG. 5A description)</w:t>
      </w:r>
    </w:p>
    <w:p>
      <w:pPr>
        <w:pStyle w:val="ListParagraph"/>
        <w:numPr>
          <w:ilvl w:val="0"/>
          <w:numId w:val="2"/>
        </w:numPr>
        <w:spacing w:after="60" w:before="60"/>
      </w:pPr>
      <w:r>
        <w:rPr>
          <w:rFonts w:ascii="Arial" w:cs="Arial" w:eastAsia="Arial" w:hAnsi="Arial"/>
          <w:sz w:val="22"/>
          <w:szCs w:val="22"/>
        </w:rPr>
        <w:t xml:space="preserve">The Figure 5A diagram showing the neural network architecture is on Page 10</w:t>
      </w:r>
    </w:p>
    <w:p>
      <w:pPr>
        <w:spacing w:after="80" w:before="120"/>
      </w:pPr>
    </w:p>
    <w:p>
      <w:pPr>
        <w:spacing w:after="80" w:before="80"/>
      </w:pPr>
      <w:r>
        <w:rPr>
          <w:rFonts w:ascii="Arial" w:cs="Arial" w:eastAsia="Arial" w:hAnsi="Arial"/>
          <w:sz w:val="22"/>
          <w:szCs w:val="22"/>
        </w:rPr>
        <w:t xml:space="preserve">Alternative: Go to patents.google.com/patent/US11416545B1 — Google Patents renders the same USPTO document in searchable HTML. Use Ctrl+F to search for "face recognition" to locate the key passage immediately.</w:t>
      </w:r>
    </w:p>
    <w:p>
      <w:pPr>
        <w:spacing w:after="80" w:before="160"/>
      </w:pPr>
    </w:p>
    <w:p>
      <w:pPr>
        <w:spacing w:after="80" w:before="80"/>
      </w:pPr>
      <w:r>
        <w:rPr>
          <w:rFonts w:ascii="Arial" w:cs="Arial" w:eastAsia="Arial" w:hAnsi="Arial"/>
          <w:sz w:val="22"/>
          <w:szCs w:val="22"/>
        </w:rPr>
        <w:t xml:space="preserve">No secondary sources are required to confirm this analysis. The claims stand on the face of the government-issued patent document.</w:t>
      </w:r>
    </w:p>
    <w:p>
      <w:pPr>
        <w:pBdr>
          <w:bottom w:val="single" w:color="CCCCCC" w:sz="4" w:space="1"/>
        </w:pBdr>
        <w:spacing w:after="200" w:before="200"/>
      </w:pPr>
    </w:p>
    <w:p>
      <w:pPr>
        <w:spacing w:after="80" w:before="160"/>
      </w:pPr>
      <w:r>
        <w:rPr>
          <w:rFonts w:ascii="Arial" w:cs="Arial" w:eastAsia="Arial" w:hAnsi="Arial"/>
          <w:i/>
          <w:iCs/>
          <w:color w:val="595959"/>
          <w:sz w:val="18"/>
          <w:szCs w:val="18"/>
        </w:rPr>
        <w:t xml:space="preserve">Prepared for Yuba County Flock Safety Oversight Project — Yuba County Board of Supervisors Presentation (June 2026 Target)</w:t>
      </w:r>
    </w:p>
    <w:p>
      <w:pPr>
        <w:spacing w:after="0" w:before="0"/>
      </w:pPr>
      <w:r>
        <w:rPr>
          <w:rFonts w:ascii="Arial" w:cs="Arial" w:eastAsia="Arial" w:hAnsi="Arial"/>
          <w:i/>
          <w:iCs/>
          <w:color w:val="595959"/>
          <w:sz w:val="18"/>
          <w:szCs w:val="18"/>
        </w:rPr>
        <w:t xml:space="preserve">Primary source: US Patent 11,416,545 B1 (USPTO) — Flock Group Inc. — August 16,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2026-05-09T23:24:07.588Z</dcterms:created>
  <dcterms:modified xsi:type="dcterms:W3CDTF">2026-05-09T23:24:07.603Z</dcterms:modified>
</cp:coreProperties>
</file>

<file path=docProps/custom.xml><?xml version="1.0" encoding="utf-8"?>
<Properties xmlns="http://schemas.openxmlformats.org/officeDocument/2006/custom-properties" xmlns:vt="http://schemas.openxmlformats.org/officeDocument/2006/docPropsVTypes"/>
</file>