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8F3E5" w14:textId="58CE9CE0" w:rsidR="00B050A6" w:rsidRDefault="00B050A6">
      <w:pPr>
        <w:rPr>
          <w:rFonts w:ascii="Courier New" w:hAnsi="Courier New" w:cs="Courier New"/>
          <w:color w:val="FAF9F5"/>
          <w:sz w:val="18"/>
          <w:szCs w:val="18"/>
          <w:shd w:val="clear" w:color="auto" w:fill="30302E"/>
        </w:rPr>
      </w:pPr>
      <w:r>
        <w:rPr>
          <w:rFonts w:ascii="Courier New" w:hAnsi="Courier New" w:cs="Courier New"/>
          <w:color w:val="FAF9F5"/>
          <w:sz w:val="18"/>
          <w:szCs w:val="18"/>
          <w:shd w:val="clear" w:color="auto" w:fill="30302E"/>
        </w:rPr>
        <w:t xml:space="preserve">**FLOCK SAFETY CAMERAS IN YUBA COUNTY** **Research ****&amp;**** Oversight Summary** *Compiled March 10, 2026 | Updated March 20, 2026* **UPDATE NOTE (March 20, 2026):** A Presentation Strategy &amp; Communication Approach section has been added, including a new subsection on the national surveillance context established by FBI Director Patel's March 18, 2026 Senate testimony confirming warrantless purchase of Americans' location data, and guidance for handling anticipated "your phone tracks you" pushback. Earlier update (March 15, 2026): A new section on Effectiveness Claims and Confounding Variables was added. Earlier update (March 11, 2026): The Yuba County section was revised to reflect corrected statistics from the spreadsheet audit. Key changes: precise percentages replacing vague language, a UTC-to-Pacific </w:t>
      </w:r>
      <w:proofErr w:type="spellStart"/>
      <w:r>
        <w:rPr>
          <w:rFonts w:ascii="Courier New" w:hAnsi="Courier New" w:cs="Courier New"/>
          <w:color w:val="FAF9F5"/>
          <w:sz w:val="18"/>
          <w:szCs w:val="18"/>
          <w:shd w:val="clear" w:color="auto" w:fill="30302E"/>
        </w:rPr>
        <w:t>timezone</w:t>
      </w:r>
      <w:proofErr w:type="spellEnd"/>
      <w:r>
        <w:rPr>
          <w:rFonts w:ascii="Courier New" w:hAnsi="Courier New" w:cs="Courier New"/>
          <w:color w:val="FAF9F5"/>
          <w:sz w:val="18"/>
          <w:szCs w:val="18"/>
          <w:shd w:val="clear" w:color="auto" w:fill="30302E"/>
        </w:rPr>
        <w:t xml:space="preserve"> correction note, and separation of the blank-reason and after-hours findings into independent concerns. **Legal Landscape** The key federal case is out of Norfolk, Virginia, where a U.S. District Judge ruled in January 2026 that Flock cameras do not violate Fourth Amendment rights --- but only as currently deployed with 175 cameras and a 21-day data retention period. The Institute for Justice is appealing, so this remains legally live. The core framework being applied against Flock is *Carpenter v. United States* (2018), where the Supreme Court ruled that tracking the "whole of a person's movements" requires a warrant. California's relevant statute is **SB 34**, which restricts how law enforcement can use ALPR data --- requiring specific, articulable criminal investigations rather than fishing expeditions. **Woodland, CA --- Regional Context** The City of Woodland extended a two-year, $300,000 Flock contract in February 2026 covering 36 license plate readers and 5 surveillance cameras. A community group called **</w:t>
      </w:r>
      <w:proofErr w:type="spellStart"/>
      <w:r>
        <w:rPr>
          <w:rFonts w:ascii="Courier New" w:hAnsi="Courier New" w:cs="Courier New"/>
          <w:color w:val="FAF9F5"/>
          <w:sz w:val="18"/>
          <w:szCs w:val="18"/>
          <w:shd w:val="clear" w:color="auto" w:fill="30302E"/>
        </w:rPr>
        <w:t>DeFlock</w:t>
      </w:r>
      <w:proofErr w:type="spellEnd"/>
      <w:r>
        <w:rPr>
          <w:rFonts w:ascii="Courier New" w:hAnsi="Courier New" w:cs="Courier New"/>
          <w:color w:val="FAF9F5"/>
          <w:sz w:val="18"/>
          <w:szCs w:val="18"/>
          <w:shd w:val="clear" w:color="auto" w:fill="30302E"/>
        </w:rPr>
        <w:t xml:space="preserve"> Woodland** pulled public records revealing that between February 2025 and March 2026, there were **507,765 total searches** of Woodland's Flock system. Of those, only **424 (0.08</w:t>
      </w:r>
      <w:proofErr w:type="gramStart"/>
      <w:r>
        <w:rPr>
          <w:rFonts w:ascii="Courier New" w:hAnsi="Courier New" w:cs="Courier New"/>
          <w:color w:val="FAF9F5"/>
          <w:sz w:val="18"/>
          <w:szCs w:val="18"/>
          <w:shd w:val="clear" w:color="auto" w:fill="30302E"/>
        </w:rPr>
        <w:t>%)*</w:t>
      </w:r>
      <w:proofErr w:type="gramEnd"/>
      <w:r>
        <w:rPr>
          <w:rFonts w:ascii="Courier New" w:hAnsi="Courier New" w:cs="Courier New"/>
          <w:color w:val="FAF9F5"/>
          <w:sz w:val="18"/>
          <w:szCs w:val="18"/>
          <w:shd w:val="clear" w:color="auto" w:fill="30302E"/>
        </w:rPr>
        <w:t>* were conducted by Woodland PD itself. The remaining **507,341 searches (99.92</w:t>
      </w:r>
      <w:proofErr w:type="gramStart"/>
      <w:r>
        <w:rPr>
          <w:rFonts w:ascii="Courier New" w:hAnsi="Courier New" w:cs="Courier New"/>
          <w:color w:val="FAF9F5"/>
          <w:sz w:val="18"/>
          <w:szCs w:val="18"/>
          <w:shd w:val="clear" w:color="auto" w:fill="30302E"/>
        </w:rPr>
        <w:t>%)*</w:t>
      </w:r>
      <w:proofErr w:type="gramEnd"/>
      <w:r>
        <w:rPr>
          <w:rFonts w:ascii="Courier New" w:hAnsi="Courier New" w:cs="Courier New"/>
          <w:color w:val="FAF9F5"/>
          <w:sz w:val="18"/>
          <w:szCs w:val="18"/>
          <w:shd w:val="clear" w:color="auto" w:fill="30302E"/>
        </w:rPr>
        <w:t xml:space="preserve">* were conducted by 316 other California organizations. </w:t>
      </w:r>
      <w:proofErr w:type="spellStart"/>
      <w:r>
        <w:rPr>
          <w:rFonts w:ascii="Courier New" w:hAnsi="Courier New" w:cs="Courier New"/>
          <w:color w:val="FAF9F5"/>
          <w:sz w:val="18"/>
          <w:szCs w:val="18"/>
          <w:shd w:val="clear" w:color="auto" w:fill="30302E"/>
        </w:rPr>
        <w:t>DeFlock</w:t>
      </w:r>
      <w:proofErr w:type="spellEnd"/>
      <w:r>
        <w:rPr>
          <w:rFonts w:ascii="Courier New" w:hAnsi="Courier New" w:cs="Courier New"/>
          <w:color w:val="FAF9F5"/>
          <w:sz w:val="18"/>
          <w:szCs w:val="18"/>
          <w:shd w:val="clear" w:color="auto" w:fill="30302E"/>
        </w:rPr>
        <w:t xml:space="preserve"> argues this violates the spirit and letter of SB 34 because there is no mechanism to audit whether those outside agencies had legitimate investigative reasons for their searches. **Yuba County --- Local Findings** Through Flock's public **Transparency Portal** for Yuba County, a detailed audit of search log data was conducted. All raw timestamps in the portal are in UTC (Zulu time), not Pacific --- a critical detail that affects any time-of-day analysis. All findings below reflect data converted to Pacific Standard/Daylight time, accounting for the time change that occurred on March 8, 2026. **Finding 1: Missing Search Justifications (Independent </w:t>
      </w:r>
      <w:proofErr w:type="gramStart"/>
      <w:r>
        <w:rPr>
          <w:rFonts w:ascii="Courier New" w:hAnsi="Courier New" w:cs="Courier New"/>
          <w:color w:val="FAF9F5"/>
          <w:sz w:val="18"/>
          <w:szCs w:val="18"/>
          <w:shd w:val="clear" w:color="auto" w:fill="30302E"/>
        </w:rPr>
        <w:t>Concern)*</w:t>
      </w:r>
      <w:proofErr w:type="gramEnd"/>
      <w:r>
        <w:rPr>
          <w:rFonts w:ascii="Courier New" w:hAnsi="Courier New" w:cs="Courier New"/>
          <w:color w:val="FAF9F5"/>
          <w:sz w:val="18"/>
          <w:szCs w:val="18"/>
          <w:shd w:val="clear" w:color="auto" w:fill="30302E"/>
        </w:rPr>
        <w:t xml:space="preserve">* Approximately 53% of all searches --- more than half --- have no reason entered whatsoever. This blank-reason problem is consistent across all hours of the day and is not disproportionately concentrated in after-hours periods. It represents a systemic documentation failure independent of when searches occur. Among the entries that do have reasons, the codes are highly inconsistent --- the same investigation type appears in multiple forms (e.g., "Drug Investigation," "Drug Inv," "Drug Intel") making pattern analysis difficult and audit trails unreliable. Notable specific entries include: - A named private individual ("Don Likens" / "Donald Likens") cited as the reason across 6 searches spanning January 31--February 1, suggesting possible individual movement tracking. - Two entries show a birth date ("1936-10-01 00:00:00") in the reason field, suggesting person-based searches and possible auto-population from the system. - Five searches cite "pattern of travel" as justification --- carrying serious Fourth Amendment implications under Carpenter v. United States (2018). - Entries so vague they have no accountability value: "Sus," "SC," "fi/," or raw case numbers with no context. Finding 2: Concentrated After-Hours Search Activity (Independent Concern) After correcting for UTC-to-Pacific time conversion, approximately 44--45% of all searches occurred between 10:00 PM and 6:00 AM Pacific time. This concentration of activity in overnight hours is notable and warrants scrutiny. Critically, this finding stands independently --- the blank reason rate during after-hours searches is roughly proportional to the daytime blank rate. The two concerns are separate: - **53%** of all searches across all hours have no </w:t>
      </w:r>
      <w:r>
        <w:rPr>
          <w:rFonts w:ascii="Courier New" w:hAnsi="Courier New" w:cs="Courier New"/>
          <w:color w:val="FAF9F5"/>
          <w:sz w:val="18"/>
          <w:szCs w:val="18"/>
          <w:shd w:val="clear" w:color="auto" w:fill="30302E"/>
        </w:rPr>
        <w:lastRenderedPageBreak/>
        <w:t xml:space="preserve">documented reason. - **44--45%** of all searches occur between 10 PM--6 AM, regardless of documentation status. Both findings are independently significant. The after-hours concentration raises questions about who is conducting searches and under what authority during those hours, particularly given that the user ID fields in the portal data are redacted. Because Yuba County's improper documentation is visible on the public Transparency Portal without requiring a CPRA request, it is already on the public record and creates direct legal accountability exposure for the agency. A Flock camera was also identified in **Sutter County** via the deflock.me map. That contract does not appear easily findable through public web searches --- a CPRA request to Sutter County may be needed to confirm deployment details. **Effectiveness Claims and Confounding Variables** Law enforcement agencies, including Yuba County, cite improved crime clearance rates as a primary justification for Flock investment. These claims deserve scrutiny because clearance rate data cannot isolate Flock's contribution from other simultaneous changes, particularly the rapid proliferation of consumer home surveillance systems. **The Attribution Problem** A crime is "cleared" when an arrest is </w:t>
      </w:r>
      <w:proofErr w:type="gramStart"/>
      <w:r>
        <w:rPr>
          <w:rFonts w:ascii="Courier New" w:hAnsi="Courier New" w:cs="Courier New"/>
          <w:color w:val="FAF9F5"/>
          <w:sz w:val="18"/>
          <w:szCs w:val="18"/>
          <w:shd w:val="clear" w:color="auto" w:fill="30302E"/>
        </w:rPr>
        <w:t>made</w:t>
      </w:r>
      <w:proofErr w:type="gramEnd"/>
      <w:r>
        <w:rPr>
          <w:rFonts w:ascii="Courier New" w:hAnsi="Courier New" w:cs="Courier New"/>
          <w:color w:val="FAF9F5"/>
          <w:sz w:val="18"/>
          <w:szCs w:val="18"/>
          <w:shd w:val="clear" w:color="auto" w:fill="30302E"/>
        </w:rPr>
        <w:t xml:space="preserve"> or the case is exceptionally cleared. The metric itself contains no information about which tool or tip produced the clearance. Home surveillance cameras (Ring, Nest, Blink, and similar products) have expanded dramatically over the same 2021--2026 period during which Flock was deployed in Yuba County. When an agency claims Flock improved clearance rates, there is a significant **attribution problem**: the same outcome could have been driven entirely by resident-provided footage, neighborhood tip networks, or other factors unrelated to ALPR searches. **Specific Confounders for Property Crimes** For burglary, vehicle theft, and vandalism --- the categories most commonly cited in Flock promotional materials --- several independent variables complicate any clearance rate comparison: - **Doorbell and driveway cameras** are now standard in many Yuba County residential areas. Homeowners frequently share footage directly with investigators, often resolving cases with no ALPR involvement. - **Neighborhood platforms** such as </w:t>
      </w:r>
      <w:proofErr w:type="spellStart"/>
      <w:r>
        <w:rPr>
          <w:rFonts w:ascii="Courier New" w:hAnsi="Courier New" w:cs="Courier New"/>
          <w:color w:val="FAF9F5"/>
          <w:sz w:val="18"/>
          <w:szCs w:val="18"/>
          <w:shd w:val="clear" w:color="auto" w:fill="30302E"/>
        </w:rPr>
        <w:t>Nextdoor</w:t>
      </w:r>
      <w:proofErr w:type="spellEnd"/>
      <w:r>
        <w:rPr>
          <w:rFonts w:ascii="Courier New" w:hAnsi="Courier New" w:cs="Courier New"/>
          <w:color w:val="FAF9F5"/>
          <w:sz w:val="18"/>
          <w:szCs w:val="18"/>
          <w:shd w:val="clear" w:color="auto" w:fill="30302E"/>
        </w:rPr>
        <w:t xml:space="preserve"> and Ring's Neighbors app facilitate rapid informal tip-sharing that can lead to arrests entirely outside the Flock system. - **Deterrence effects of visible home cameras** may independently reduce property crime, shrinking the denominator of crimes committed while Flock receives credit for any cases that are cleared. - **Staffing changes** funded by Measure K (26 new sheriff's department positions) represent an independent variable that could improve clearance rates regardless of any surveillance technology. **What the Transparency Portal Data Does Not Show** The Flock search audit data obtained via CPRA and available on the Transparency Portal logs searches --- it does not contain outcome data. There is no field linking a given search to an arrest, a case clearance, or any investigative result. This means the county cannot demonstrate, from its own published data, that any specific Flock search contributed to a cleared case. **Questions for the Board of Supervisors** </w:t>
      </w:r>
      <w:proofErr w:type="gramStart"/>
      <w:r>
        <w:rPr>
          <w:rFonts w:ascii="Courier New" w:hAnsi="Courier New" w:cs="Courier New"/>
          <w:color w:val="FAF9F5"/>
          <w:sz w:val="18"/>
          <w:szCs w:val="18"/>
          <w:shd w:val="clear" w:color="auto" w:fill="30302E"/>
        </w:rPr>
        <w:t>If county</w:t>
      </w:r>
      <w:proofErr w:type="gramEnd"/>
      <w:r>
        <w:rPr>
          <w:rFonts w:ascii="Courier New" w:hAnsi="Courier New" w:cs="Courier New"/>
          <w:color w:val="FAF9F5"/>
          <w:sz w:val="18"/>
          <w:szCs w:val="18"/>
          <w:shd w:val="clear" w:color="auto" w:fill="30302E"/>
        </w:rPr>
        <w:t xml:space="preserve"> officials present clearance rate improvements as evidence of Flock's effectiveness, the following questions expose the methodological gaps: - Were clearance rates broken down by crime type and compared against a pre-Flock baseline that accounts for concurrent changes in home surveillance density? - Is there case-level documentation linking specific Flock ALPR hits to cleared cases, as opposed to cases cleared through resident footage, tips, or other means? - How have clearance rates for crimes *not* typically involving vehicles --- where ALPR would have no relevance --- changed over the same period? A comparable trend would suggest the driver is something other than Flock. - What methodology was used to attribute clearance rate improvements specifically to Flock, and has that methodology been independently reviewed? The core argument is not that Flock never contributes to clearances --- it is that the county has accepted significant civil liberties risks and ongoing taxpayer expense based on effectiveness claims that are **methodologically unsupportable** without controls for these confounding variables. **Measure K --- The Funding Mechanism** Measure K is a local sales tax approved by Yuba County voters to fund public safety. It has funded Flock cameras, body-worn </w:t>
      </w:r>
      <w:r>
        <w:rPr>
          <w:rFonts w:ascii="Courier New" w:hAnsi="Courier New" w:cs="Courier New"/>
          <w:color w:val="FAF9F5"/>
          <w:sz w:val="18"/>
          <w:szCs w:val="18"/>
          <w:shd w:val="clear" w:color="auto" w:fill="30302E"/>
        </w:rPr>
        <w:lastRenderedPageBreak/>
        <w:t xml:space="preserve">cameras, upgraded dispatch systems, and **26 new sheriff****'****s department positions**. Voters approved Measure K for broad "public safety" purposes --- they were not specifically informed that funds would go toward a Flock surveillance system with documented security vulnerabilities and SB 34 compliance gaps. This undermines the argument that the community approved this specific spending. **Conflict of Interest --- Undersheriff </w:t>
      </w:r>
      <w:proofErr w:type="spellStart"/>
      <w:r>
        <w:rPr>
          <w:rFonts w:ascii="Courier New" w:hAnsi="Courier New" w:cs="Courier New"/>
          <w:color w:val="FAF9F5"/>
          <w:sz w:val="18"/>
          <w:szCs w:val="18"/>
          <w:shd w:val="clear" w:color="auto" w:fill="30302E"/>
        </w:rPr>
        <w:t>Morawczewski</w:t>
      </w:r>
      <w:proofErr w:type="spellEnd"/>
      <w:r>
        <w:rPr>
          <w:rFonts w:ascii="Courier New" w:hAnsi="Courier New" w:cs="Courier New"/>
          <w:color w:val="FAF9F5"/>
          <w:sz w:val="18"/>
          <w:szCs w:val="18"/>
          <w:shd w:val="clear" w:color="auto" w:fill="30302E"/>
        </w:rPr>
        <w:t xml:space="preserve">** Undersheriff </w:t>
      </w:r>
      <w:proofErr w:type="spellStart"/>
      <w:r>
        <w:rPr>
          <w:rFonts w:ascii="Courier New" w:hAnsi="Courier New" w:cs="Courier New"/>
          <w:color w:val="FAF9F5"/>
          <w:sz w:val="18"/>
          <w:szCs w:val="18"/>
          <w:shd w:val="clear" w:color="auto" w:fill="30302E"/>
        </w:rPr>
        <w:t>Morawczewski</w:t>
      </w:r>
      <w:proofErr w:type="spellEnd"/>
      <w:r>
        <w:rPr>
          <w:rFonts w:ascii="Courier New" w:hAnsi="Courier New" w:cs="Courier New"/>
          <w:color w:val="FAF9F5"/>
          <w:sz w:val="18"/>
          <w:szCs w:val="18"/>
          <w:shd w:val="clear" w:color="auto" w:fill="30302E"/>
        </w:rPr>
        <w:t xml:space="preserve"> chairs the Measure K Citizens Oversight Committee --- the body responsible for independently evaluating how Measure K funds are spent. He also manages the sheriff's department that directly benefits from those funds, including the Flock system and the 26 positions Measure K created. This is a textbook conflict of interest under **California Government Code Section 1090**, which prohibits public officials from participating in decisions where they have a direct material interest. A complaint could be filed with the Fair Political Practices Commission (FPPC) or the county counsel. **The Oversight Committee --- Four Years of Theatre** From August 2022 through February 2026, the Measure K Citizens Oversight Committee has met with nearly identical bare-bones agendas: elect officers, approve minutes, receive department updates, set future dates, and adjourn. There has been no substantive examination of specific expenditures, no scrutiny of Flock's compliance with SB 34, and no independent review of how the surveillance system is being used. The committee exists on paper to satisfy legal oversight requirements but has functioned as a rubber stamp. **Supervisor Bradford --- Community Engagement** On the Plumas Lake subreddit, Supervisor Bradford defended Flock by citing the sheriff's characterization of it as a "game changer" and pointing to the Flock transparency portal. When pressed for specific statistics, he admitted he had none and said he would ask the sheriff for data. His posts in both the Plumas Lake subreddit and the Plumas Lake Chatter Facebook group received little to no engagement, undermining claims of strong community support. His "representative democracy" argument --- that the community had a voice through public meetings --- is weakened by the fact that Measure K voters were not specifically informed about Flock spending, and the oversight committee has not held the board accountable. **Quarterly Public Safety Presentation** A June 2024 Yuba County Board of Supervisors meeting video shows Undersheriff </w:t>
      </w:r>
      <w:proofErr w:type="spellStart"/>
      <w:r>
        <w:rPr>
          <w:rFonts w:ascii="Courier New" w:hAnsi="Courier New" w:cs="Courier New"/>
          <w:color w:val="FAF9F5"/>
          <w:sz w:val="18"/>
          <w:szCs w:val="18"/>
          <w:shd w:val="clear" w:color="auto" w:fill="30302E"/>
        </w:rPr>
        <w:t>Morawczewski</w:t>
      </w:r>
      <w:proofErr w:type="spellEnd"/>
      <w:r>
        <w:rPr>
          <w:rFonts w:ascii="Courier New" w:hAnsi="Courier New" w:cs="Courier New"/>
          <w:color w:val="FAF9F5"/>
          <w:sz w:val="18"/>
          <w:szCs w:val="18"/>
          <w:shd w:val="clear" w:color="auto" w:fill="30302E"/>
        </w:rPr>
        <w:t xml:space="preserve"> presenting quarterly public safety statistics and referencing Flock's impact. Critically, this presentation does not appear in the official meeting minutes --- a transparency gap in itself. This video needs to be reviewed to document exactly what claims were made about Flock's effectiveness so they can be cross-referenced against the transparency portal audit data. **Documented Flock Security Vulnerabilities** - Senator Ron Wyden's investigation found Flock does not require multi-factor authentication. - At least 35 customer account passwords were stolen by hackers. - Flock cameras and admin dashboards were publicly accessible at one point. - A Texas case documented deputies using Flock to track a woman across 83,000 cameras. - In Joplin, Missouri, an officer abused the system for over a year before it was caught. **Timeline and Strategy** - Continue gathering research through the end of April coursework. - Use May to organize, verify, and package all findings. - Present publicly in June --- targeting community groups first, then the Board of Supervisors. - Frame arguments around systemic governance failures, not personal attacks. - Reframe privacy arguments for skeptical audiences: identity theft risk from data breaches, domestic abusers using Flock data to stalk victims, and tax dollars funding a system with no real accountability. - Consider early grassroots community engagement to build momentum before the formal June presentation. - The quarterly public safety video and Measure K oversight committee reports remain the two most important outstanding research items. **Presentation Strategy ****&amp;**** Communication Approach** The following principles govern how findings should be communicated in face-to-face and public settings, including the planned June 2026 Board of Supervisors presentation. **The ****"****Fresh Eyes****"**** Advantage** This research was conducted by someone new to local government, public records practice, and Board of Supervisors proceedings. That is a strategic asset, not a liability. Framing the </w:t>
      </w:r>
      <w:r>
        <w:rPr>
          <w:rFonts w:ascii="Courier New" w:hAnsi="Courier New" w:cs="Courier New"/>
          <w:color w:val="FAF9F5"/>
          <w:sz w:val="18"/>
          <w:szCs w:val="18"/>
          <w:shd w:val="clear" w:color="auto" w:fill="30302E"/>
        </w:rPr>
        <w:lastRenderedPageBreak/>
        <w:t xml:space="preserve">presentation from a position of genuine civic curiosity --- rather than entrenched opposition --- disarms defensiveness and makes findings harder to dismiss as a political attack. **Suggested opening </w:t>
      </w:r>
      <w:proofErr w:type="gramStart"/>
      <w:r>
        <w:rPr>
          <w:rFonts w:ascii="Courier New" w:hAnsi="Courier New" w:cs="Courier New"/>
          <w:color w:val="FAF9F5"/>
          <w:sz w:val="18"/>
          <w:szCs w:val="18"/>
          <w:shd w:val="clear" w:color="auto" w:fill="30302E"/>
        </w:rPr>
        <w:t>framing:*</w:t>
      </w:r>
      <w:proofErr w:type="gramEnd"/>
      <w:r>
        <w:rPr>
          <w:rFonts w:ascii="Courier New" w:hAnsi="Courier New" w:cs="Courier New"/>
          <w:color w:val="FAF9F5"/>
          <w:sz w:val="18"/>
          <w:szCs w:val="18"/>
          <w:shd w:val="clear" w:color="auto" w:fill="30302E"/>
        </w:rPr>
        <w:t xml:space="preserve">* "I'm new to this process, so I came in without assumptions about how things work. Here's what the data showed when I looked at it fresh." This framing works because it signals good faith, establishes that the analysis is data-driven rather than ideologically motivated, and positions the presenter as a problem-solver rather than an adversary. **Policy Criticism, Not Personal Attack** The goal is to critique governance gaps and policy failures --- not to accuse individuals of wrongdoing. This distinction matters tactically: personal attacks trigger defensiveness and derail substantive debate, while systemic critiques invite solutions and build coalitions. Practically, this means: - Lead with "the system lacks adequate oversight" rather than "the sheriff is misusing this tool." - Frame the Measure K oversight committee as a structural failure, not a personal one. - Present the </w:t>
      </w:r>
      <w:proofErr w:type="gramStart"/>
      <w:r>
        <w:rPr>
          <w:rFonts w:ascii="Courier New" w:hAnsi="Courier New" w:cs="Courier New"/>
          <w:color w:val="FAF9F5"/>
          <w:sz w:val="18"/>
          <w:szCs w:val="18"/>
          <w:shd w:val="clear" w:color="auto" w:fill="30302E"/>
        </w:rPr>
        <w:t>conflict of interest</w:t>
      </w:r>
      <w:proofErr w:type="gramEnd"/>
      <w:r>
        <w:rPr>
          <w:rFonts w:ascii="Courier New" w:hAnsi="Courier New" w:cs="Courier New"/>
          <w:color w:val="FAF9F5"/>
          <w:sz w:val="18"/>
          <w:szCs w:val="18"/>
          <w:shd w:val="clear" w:color="auto" w:fill="30302E"/>
        </w:rPr>
        <w:t xml:space="preserve"> issue as a policy problem requiring a structural fix, not a character indictment. - Acknowledge that law enforcement faces real challenges --- the argument is about accountability mechanisms, not intent. **Handling the ****"****Your Phone Already Tracks You****"**** Argument** A common pushback is: "your cell phone tracks you everywhere anyway, so what's the difference?" This argument conflates voluntary private-sector tracking with government mass surveillance. Key distinctions: - **Consent and </w:t>
      </w:r>
      <w:proofErr w:type="gramStart"/>
      <w:r>
        <w:rPr>
          <w:rFonts w:ascii="Courier New" w:hAnsi="Courier New" w:cs="Courier New"/>
          <w:color w:val="FAF9F5"/>
          <w:sz w:val="18"/>
          <w:szCs w:val="18"/>
          <w:shd w:val="clear" w:color="auto" w:fill="30302E"/>
        </w:rPr>
        <w:t>control:*</w:t>
      </w:r>
      <w:proofErr w:type="gramEnd"/>
      <w:r>
        <w:rPr>
          <w:rFonts w:ascii="Courier New" w:hAnsi="Courier New" w:cs="Courier New"/>
          <w:color w:val="FAF9F5"/>
          <w:sz w:val="18"/>
          <w:szCs w:val="18"/>
          <w:shd w:val="clear" w:color="auto" w:fill="30302E"/>
        </w:rPr>
        <w:t xml:space="preserve">* You chose your phone and can theoretically opt out. You cannot opt out of driving on public roads past a Flock camera. - **Power </w:t>
      </w:r>
      <w:proofErr w:type="gramStart"/>
      <w:r>
        <w:rPr>
          <w:rFonts w:ascii="Courier New" w:hAnsi="Courier New" w:cs="Courier New"/>
          <w:color w:val="FAF9F5"/>
          <w:sz w:val="18"/>
          <w:szCs w:val="18"/>
          <w:shd w:val="clear" w:color="auto" w:fill="30302E"/>
        </w:rPr>
        <w:t>asymmetry:*</w:t>
      </w:r>
      <w:proofErr w:type="gramEnd"/>
      <w:r>
        <w:rPr>
          <w:rFonts w:ascii="Courier New" w:hAnsi="Courier New" w:cs="Courier New"/>
          <w:color w:val="FAF9F5"/>
          <w:sz w:val="18"/>
          <w:szCs w:val="18"/>
          <w:shd w:val="clear" w:color="auto" w:fill="30302E"/>
        </w:rPr>
        <w:t xml:space="preserve">* Private companies have some liability for misuse; government databases can be accessed across agencies with weaker controls. - **Legal </w:t>
      </w:r>
      <w:proofErr w:type="gramStart"/>
      <w:r>
        <w:rPr>
          <w:rFonts w:ascii="Courier New" w:hAnsi="Courier New" w:cs="Courier New"/>
          <w:color w:val="FAF9F5"/>
          <w:sz w:val="18"/>
          <w:szCs w:val="18"/>
          <w:shd w:val="clear" w:color="auto" w:fill="30302E"/>
        </w:rPr>
        <w:t>trajectory:*</w:t>
      </w:r>
      <w:proofErr w:type="gramEnd"/>
      <w:r>
        <w:rPr>
          <w:rFonts w:ascii="Courier New" w:hAnsi="Courier New" w:cs="Courier New"/>
          <w:color w:val="FAF9F5"/>
          <w:sz w:val="18"/>
          <w:szCs w:val="18"/>
          <w:shd w:val="clear" w:color="auto" w:fill="30302E"/>
        </w:rPr>
        <w:t xml:space="preserve">* *Carpenter v. United States* (2018) established that aggregate location patterns deserve Fourth Amendment protection. Courts are applying that logic increasingly broadly --- mass plate reader databases are on the wrong side of where the law is heading. - **The reductio ad </w:t>
      </w:r>
      <w:proofErr w:type="gramStart"/>
      <w:r>
        <w:rPr>
          <w:rFonts w:ascii="Courier New" w:hAnsi="Courier New" w:cs="Courier New"/>
          <w:color w:val="FAF9F5"/>
          <w:sz w:val="18"/>
          <w:szCs w:val="18"/>
          <w:shd w:val="clear" w:color="auto" w:fill="30302E"/>
        </w:rPr>
        <w:t>absurdum:*</w:t>
      </w:r>
      <w:proofErr w:type="gramEnd"/>
      <w:r>
        <w:rPr>
          <w:rFonts w:ascii="Courier New" w:hAnsi="Courier New" w:cs="Courier New"/>
          <w:color w:val="FAF9F5"/>
          <w:sz w:val="18"/>
          <w:szCs w:val="18"/>
          <w:shd w:val="clear" w:color="auto" w:fill="30302E"/>
        </w:rPr>
        <w:t xml:space="preserve">* Accepting "it solves crimes" as sufficient justification has no principled stopping point. Warrantless home searches would also solve more crimes. We draw lines based on values, not just efficiency. **National Surveillance Context: The FBI Admission (March </w:t>
      </w:r>
      <w:proofErr w:type="gramStart"/>
      <w:r>
        <w:rPr>
          <w:rFonts w:ascii="Courier New" w:hAnsi="Courier New" w:cs="Courier New"/>
          <w:color w:val="FAF9F5"/>
          <w:sz w:val="18"/>
          <w:szCs w:val="18"/>
          <w:shd w:val="clear" w:color="auto" w:fill="30302E"/>
        </w:rPr>
        <w:t>2026)*</w:t>
      </w:r>
      <w:proofErr w:type="gramEnd"/>
      <w:r>
        <w:rPr>
          <w:rFonts w:ascii="Courier New" w:hAnsi="Courier New" w:cs="Courier New"/>
          <w:color w:val="FAF9F5"/>
          <w:sz w:val="18"/>
          <w:szCs w:val="18"/>
          <w:shd w:val="clear" w:color="auto" w:fill="30302E"/>
        </w:rPr>
        <w:t xml:space="preserve">* On March 18, 2026, FBI Director Kash Patel testified before the Senate Intelligence Committee and confirmed that the FBI is actively purchasing commercially available location data on Americans --- without warrants. Senator Ron Wyden called it "an outrageous end run around the Fourth Amendment" and noted it is "particularly dangerous given the use of artificial intelligence to comb through massive amounts of private information." This reversed the position of Patel's predecessor, who told Congress in 2023 that the practice had been discontinued. This development is directly relevant to anticipated pushback. When a Board member suggests that ubiquitous surveillance renders concerns about Flock moot --- essentially the "your phone tracks you too" argument applied at a grander scale --- the correct response is that the FBI's admitted practice is precisely *why* local accountability structures matter more, not less. The normalization of warrantless location tracking at the federal level is the argument for stronger local oversight, not an argument for complacency. Three distinctions should be kept sharp if this line of argument arises: - **Your phone** --- voluntary, private-sector, and subject to *Carpenter* constraints if government seeks access. - **Federal data brokers** --- no consent, no warrant, no local accountability; Congress is actively fighting over this right now. - **Yuba County****'****s Flock system** --- government-operated, locally funded by Measure K, and governed by SB 34. Unlike the federal data broker ecosystem, there is a specific legal framework that applies here. The question before the Board is not whether surveillance technology exists nationally --- it is whether *this system*, paid for by county taxpayers, is being operated with documented justification and adequate oversight. The audit data shows it is not. The FBI story is useful as national context, but the anchor should always return to the local data: 53% of searches with no documented reason, visible on a public portal, representing a compliance failure under existing California law. That is the argument no one can </w:t>
      </w:r>
      <w:r>
        <w:rPr>
          <w:rFonts w:ascii="Courier New" w:hAnsi="Courier New" w:cs="Courier New"/>
          <w:color w:val="FAF9F5"/>
          <w:sz w:val="18"/>
          <w:szCs w:val="18"/>
          <w:shd w:val="clear" w:color="auto" w:fill="30302E"/>
        </w:rPr>
        <w:lastRenderedPageBreak/>
        <w:t xml:space="preserve">dismiss with a reference to smartphones or federal intelligence agencies. **Important </w:t>
      </w:r>
      <w:proofErr w:type="gramStart"/>
      <w:r>
        <w:rPr>
          <w:rFonts w:ascii="Courier New" w:hAnsi="Courier New" w:cs="Courier New"/>
          <w:color w:val="FAF9F5"/>
          <w:sz w:val="18"/>
          <w:szCs w:val="18"/>
          <w:shd w:val="clear" w:color="auto" w:fill="30302E"/>
        </w:rPr>
        <w:t>caveat:*</w:t>
      </w:r>
      <w:proofErr w:type="gramEnd"/>
      <w:r>
        <w:rPr>
          <w:rFonts w:ascii="Courier New" w:hAnsi="Courier New" w:cs="Courier New"/>
          <w:color w:val="FAF9F5"/>
          <w:sz w:val="18"/>
          <w:szCs w:val="18"/>
          <w:shd w:val="clear" w:color="auto" w:fill="30302E"/>
        </w:rPr>
        <w:t>* The law has not yet clearly prohibited Flock-style surveillance. The honest framing is not "this is illegal" but "this is a governance gap the law has not yet closed, and here's why it should." Overstating the legal case undermines credibility. **Relationship-Building as Strategy** The long-term goal is accountability and policy change --- outcomes that require ongoing relationships with elected officials, community members, and potentially even sympathetic law enforcement personnel. Adversarial framing may win a single exchange but lose the longer campaign. The approach that works: "We all want public safety and good governance. Here's what the data shows about where the system isn't working, and here's what would make it better." This opens doors that a "I caught you" framing closes. **Timeline and Strategy** - Continue gathering research through the end of April 2026. - Use May 2026 to organize, verify, and package all findings. - Present publicly in June 2026 --- targeting community groups first, then the Board of Supervisors. - Frame arguments around systemic governance failures, not personal attacks. - Open with a disarming "fresh eyes" statement that establishes good faith and data-driven intent. - Reframe privacy arguments for skeptical audiences: identity theft risk from data breaches, domestic abusers using Flock data to stalk victims, and tax dollars funding a system with no real accountability. - Consider early grassroots community engagement to build momentum before the formal June presentation. - Phase 2 CPRA: Request search-hits-to-arrest ratio data as the key effectiveness metric. - The quarterly public safety video and Measure K oversight committee reports remain the two most important outstanding research items. *Confidential Research Document | Yuba County Flock Safety Oversight Project | March 2026*</w:t>
      </w:r>
    </w:p>
    <w:p w14:paraId="20CDF72A" w14:textId="77777777" w:rsidR="00B050A6" w:rsidRDefault="00B050A6">
      <w:pPr>
        <w:rPr>
          <w:rFonts w:ascii="Courier New" w:hAnsi="Courier New" w:cs="Courier New"/>
          <w:color w:val="FAF9F5"/>
          <w:sz w:val="18"/>
          <w:szCs w:val="18"/>
          <w:shd w:val="clear" w:color="auto" w:fill="30302E"/>
        </w:rPr>
      </w:pPr>
    </w:p>
    <w:p w14:paraId="5D2E4EF5" w14:textId="77777777" w:rsidR="00B050A6" w:rsidRDefault="00B050A6">
      <w:pPr>
        <w:rPr>
          <w:rFonts w:ascii="Courier New" w:hAnsi="Courier New" w:cs="Courier New"/>
          <w:color w:val="FAF9F5"/>
          <w:sz w:val="18"/>
          <w:szCs w:val="18"/>
          <w:shd w:val="clear" w:color="auto" w:fill="30302E"/>
        </w:rPr>
      </w:pPr>
    </w:p>
    <w:p w14:paraId="6648728E" w14:textId="77777777" w:rsidR="00B050A6" w:rsidRDefault="00B050A6">
      <w:pPr>
        <w:rPr>
          <w:rFonts w:ascii="Courier New" w:hAnsi="Courier New" w:cs="Courier New"/>
          <w:color w:val="FAF9F5"/>
          <w:sz w:val="18"/>
          <w:szCs w:val="18"/>
          <w:shd w:val="clear" w:color="auto" w:fill="30302E"/>
        </w:rPr>
      </w:pPr>
    </w:p>
    <w:p w14:paraId="64FB1226" w14:textId="77777777" w:rsidR="00B050A6" w:rsidRDefault="00B050A6">
      <w:pPr>
        <w:rPr>
          <w:rFonts w:ascii="Courier New" w:hAnsi="Courier New" w:cs="Courier New"/>
          <w:color w:val="FAF9F5"/>
          <w:sz w:val="18"/>
          <w:szCs w:val="18"/>
          <w:shd w:val="clear" w:color="auto" w:fill="30302E"/>
        </w:rPr>
      </w:pPr>
    </w:p>
    <w:p w14:paraId="48F15E72" w14:textId="77777777" w:rsidR="00B050A6" w:rsidRDefault="00B050A6">
      <w:pPr>
        <w:rPr>
          <w:rFonts w:ascii="Courier New" w:hAnsi="Courier New" w:cs="Courier New"/>
          <w:color w:val="FAF9F5"/>
          <w:sz w:val="18"/>
          <w:szCs w:val="18"/>
          <w:shd w:val="clear" w:color="auto" w:fill="30302E"/>
        </w:rPr>
      </w:pPr>
    </w:p>
    <w:p w14:paraId="7E456835" w14:textId="77777777" w:rsidR="00B050A6" w:rsidRDefault="00B050A6">
      <w:pPr>
        <w:rPr>
          <w:rFonts w:ascii="Courier New" w:hAnsi="Courier New" w:cs="Courier New"/>
          <w:color w:val="FAF9F5"/>
          <w:sz w:val="18"/>
          <w:szCs w:val="18"/>
          <w:shd w:val="clear" w:color="auto" w:fill="30302E"/>
        </w:rPr>
      </w:pPr>
    </w:p>
    <w:p w14:paraId="06FD584F" w14:textId="77777777" w:rsidR="00B050A6" w:rsidRDefault="00B050A6">
      <w:pPr>
        <w:rPr>
          <w:rFonts w:ascii="Courier New" w:hAnsi="Courier New" w:cs="Courier New"/>
          <w:color w:val="FAF9F5"/>
          <w:sz w:val="18"/>
          <w:szCs w:val="18"/>
          <w:shd w:val="clear" w:color="auto" w:fill="30302E"/>
        </w:rPr>
      </w:pPr>
    </w:p>
    <w:p w14:paraId="4492BE95" w14:textId="77777777" w:rsidR="00B050A6" w:rsidRDefault="00B050A6">
      <w:pPr>
        <w:rPr>
          <w:rFonts w:ascii="Courier New" w:hAnsi="Courier New" w:cs="Courier New"/>
          <w:color w:val="FAF9F5"/>
          <w:sz w:val="18"/>
          <w:szCs w:val="18"/>
          <w:shd w:val="clear" w:color="auto" w:fill="30302E"/>
        </w:rPr>
      </w:pPr>
    </w:p>
    <w:p w14:paraId="1F891E3E" w14:textId="77777777" w:rsidR="00B050A6" w:rsidRDefault="00B050A6">
      <w:pPr>
        <w:rPr>
          <w:rFonts w:ascii="Courier New" w:hAnsi="Courier New" w:cs="Courier New"/>
          <w:color w:val="FAF9F5"/>
          <w:sz w:val="18"/>
          <w:szCs w:val="18"/>
          <w:shd w:val="clear" w:color="auto" w:fill="30302E"/>
        </w:rPr>
      </w:pPr>
    </w:p>
    <w:p w14:paraId="16DCF68B" w14:textId="77777777" w:rsidR="00B050A6" w:rsidRDefault="00B050A6">
      <w:pPr>
        <w:rPr>
          <w:rFonts w:ascii="Courier New" w:hAnsi="Courier New" w:cs="Courier New"/>
          <w:color w:val="FAF9F5"/>
          <w:sz w:val="18"/>
          <w:szCs w:val="18"/>
          <w:shd w:val="clear" w:color="auto" w:fill="30302E"/>
        </w:rPr>
      </w:pPr>
    </w:p>
    <w:p w14:paraId="11EF5754" w14:textId="77777777" w:rsidR="00B050A6" w:rsidRDefault="00B050A6">
      <w:pPr>
        <w:rPr>
          <w:rFonts w:ascii="Courier New" w:hAnsi="Courier New" w:cs="Courier New"/>
          <w:color w:val="FAF9F5"/>
          <w:sz w:val="18"/>
          <w:szCs w:val="18"/>
          <w:shd w:val="clear" w:color="auto" w:fill="30302E"/>
        </w:rPr>
      </w:pPr>
    </w:p>
    <w:p w14:paraId="64C09D0E" w14:textId="77777777" w:rsidR="00B050A6" w:rsidRDefault="00B050A6">
      <w:pPr>
        <w:rPr>
          <w:rFonts w:ascii="Courier New" w:hAnsi="Courier New" w:cs="Courier New"/>
          <w:color w:val="FAF9F5"/>
          <w:sz w:val="18"/>
          <w:szCs w:val="18"/>
          <w:shd w:val="clear" w:color="auto" w:fill="30302E"/>
        </w:rPr>
      </w:pPr>
    </w:p>
    <w:p w14:paraId="1ED5E969" w14:textId="77777777" w:rsidR="00B050A6" w:rsidRDefault="00B050A6">
      <w:pPr>
        <w:rPr>
          <w:rFonts w:ascii="Courier New" w:hAnsi="Courier New" w:cs="Courier New"/>
          <w:color w:val="FAF9F5"/>
          <w:sz w:val="18"/>
          <w:szCs w:val="18"/>
          <w:shd w:val="clear" w:color="auto" w:fill="30302E"/>
        </w:rPr>
      </w:pPr>
    </w:p>
    <w:p w14:paraId="2AD71C4D" w14:textId="77777777" w:rsidR="00B050A6" w:rsidRDefault="00B050A6">
      <w:pPr>
        <w:rPr>
          <w:rFonts w:ascii="Courier New" w:hAnsi="Courier New" w:cs="Courier New"/>
          <w:color w:val="FAF9F5"/>
          <w:sz w:val="18"/>
          <w:szCs w:val="18"/>
          <w:shd w:val="clear" w:color="auto" w:fill="30302E"/>
        </w:rPr>
      </w:pPr>
    </w:p>
    <w:p w14:paraId="65683178" w14:textId="77777777" w:rsidR="00B050A6" w:rsidRDefault="00B050A6">
      <w:pPr>
        <w:rPr>
          <w:rFonts w:ascii="Courier New" w:hAnsi="Courier New" w:cs="Courier New"/>
          <w:color w:val="FAF9F5"/>
          <w:sz w:val="18"/>
          <w:szCs w:val="18"/>
          <w:shd w:val="clear" w:color="auto" w:fill="30302E"/>
        </w:rPr>
      </w:pPr>
    </w:p>
    <w:p w14:paraId="2657068E" w14:textId="77777777" w:rsidR="00B050A6" w:rsidRDefault="00B050A6">
      <w:pPr>
        <w:rPr>
          <w:rFonts w:ascii="Courier New" w:hAnsi="Courier New" w:cs="Courier New"/>
          <w:color w:val="FAF9F5"/>
          <w:sz w:val="18"/>
          <w:szCs w:val="18"/>
          <w:shd w:val="clear" w:color="auto" w:fill="30302E"/>
        </w:rPr>
      </w:pPr>
    </w:p>
    <w:p w14:paraId="56B5AD9C" w14:textId="77777777" w:rsidR="00B050A6" w:rsidRDefault="00B050A6">
      <w:pPr>
        <w:rPr>
          <w:rFonts w:ascii="Courier New" w:hAnsi="Courier New" w:cs="Courier New"/>
          <w:color w:val="FAF9F5"/>
          <w:sz w:val="18"/>
          <w:szCs w:val="18"/>
          <w:shd w:val="clear" w:color="auto" w:fill="30302E"/>
        </w:rPr>
      </w:pPr>
    </w:p>
    <w:p w14:paraId="23EC701A" w14:textId="77777777" w:rsidR="00B050A6" w:rsidRDefault="00B050A6">
      <w:pPr>
        <w:rPr>
          <w:rFonts w:ascii="Courier New" w:hAnsi="Courier New" w:cs="Courier New"/>
          <w:color w:val="FAF9F5"/>
          <w:sz w:val="18"/>
          <w:szCs w:val="18"/>
          <w:shd w:val="clear" w:color="auto" w:fill="30302E"/>
        </w:rPr>
      </w:pPr>
    </w:p>
    <w:p w14:paraId="486F6CC8" w14:textId="0EF4596C" w:rsidR="00B050A6" w:rsidRDefault="00B050A6">
      <w:r>
        <w:rPr>
          <w:rFonts w:ascii="Courier New" w:hAnsi="Courier New" w:cs="Courier New"/>
          <w:color w:val="FAF9F5"/>
          <w:sz w:val="18"/>
          <w:szCs w:val="18"/>
          <w:shd w:val="clear" w:color="auto" w:fill="30302E"/>
        </w:rPr>
        <w:lastRenderedPageBreak/>
        <w:t>**FLOCK SAFETY CAMERAS IN YUBA COUNTY** **Research ****&amp;**** Oversight Summary** *Compiled March 10, 2026 | Updated March 20, 2026* **UPDATE NOTE (March 20, 2026): **A new section on YCSO Public Communications — Flock Notification Framing has been added, documenting 25 months of sheriff’s Facebook posts and the misleading juxtaposition of “Flock Hits” against total arrests. A Phase 2 CPRA request template is included. Earlier update added Presentation Strategy &amp; Communication Approach. March 15, 2026: Effectiveness Claims and Confounding Variables section added. March 11, 2026: Yuba County section revised with corrected statistics. # **Legal Landscape** The key federal case is out of Norfolk, Virginia, where a U.S. District Judge ruled in January 2026 that Flock cameras do not violate Fourth Amendment rights — but only as currently deployed with 175 cameras and a 21-day data retention period. The Institute for Justice is appealing, so this remains legally live. The core framework being applied against Flock is *Carpenter v. United States* (2018), where the Supreme Court ruled that tracking the “whole of a person’s movements” requires a warrant. California’s relevant statute is **SB 34**, which restricts how law enforcement can use ALPR data — requiring specific, articulable criminal investigations rather than fishing expeditions. # **Woodland, CA — Regional Context** The City of Woodland extended a two-year, $300,000 Flock contract in February 2026 covering 36 license plate readers and 5 surveillance cameras. A community group called **</w:t>
      </w:r>
      <w:proofErr w:type="spellStart"/>
      <w:r>
        <w:rPr>
          <w:rFonts w:ascii="Courier New" w:hAnsi="Courier New" w:cs="Courier New"/>
          <w:color w:val="FAF9F5"/>
          <w:sz w:val="18"/>
          <w:szCs w:val="18"/>
          <w:shd w:val="clear" w:color="auto" w:fill="30302E"/>
        </w:rPr>
        <w:t>DeFlock</w:t>
      </w:r>
      <w:proofErr w:type="spellEnd"/>
      <w:r>
        <w:rPr>
          <w:rFonts w:ascii="Courier New" w:hAnsi="Courier New" w:cs="Courier New"/>
          <w:color w:val="FAF9F5"/>
          <w:sz w:val="18"/>
          <w:szCs w:val="18"/>
          <w:shd w:val="clear" w:color="auto" w:fill="30302E"/>
        </w:rPr>
        <w:t xml:space="preserve"> Woodland** pulled public records revealing that between February 2025 and March 2026, there were **507,765 total searches** of Woodland’s Flock system. Of those, only **424 (0.08</w:t>
      </w:r>
      <w:proofErr w:type="gramStart"/>
      <w:r>
        <w:rPr>
          <w:rFonts w:ascii="Courier New" w:hAnsi="Courier New" w:cs="Courier New"/>
          <w:color w:val="FAF9F5"/>
          <w:sz w:val="18"/>
          <w:szCs w:val="18"/>
          <w:shd w:val="clear" w:color="auto" w:fill="30302E"/>
        </w:rPr>
        <w:t>%)*</w:t>
      </w:r>
      <w:proofErr w:type="gramEnd"/>
      <w:r>
        <w:rPr>
          <w:rFonts w:ascii="Courier New" w:hAnsi="Courier New" w:cs="Courier New"/>
          <w:color w:val="FAF9F5"/>
          <w:sz w:val="18"/>
          <w:szCs w:val="18"/>
          <w:shd w:val="clear" w:color="auto" w:fill="30302E"/>
        </w:rPr>
        <w:t>* were conducted by Woodland PD itself. The remaining **507,341 searches (99.92</w:t>
      </w:r>
      <w:proofErr w:type="gramStart"/>
      <w:r>
        <w:rPr>
          <w:rFonts w:ascii="Courier New" w:hAnsi="Courier New" w:cs="Courier New"/>
          <w:color w:val="FAF9F5"/>
          <w:sz w:val="18"/>
          <w:szCs w:val="18"/>
          <w:shd w:val="clear" w:color="auto" w:fill="30302E"/>
        </w:rPr>
        <w:t>%)*</w:t>
      </w:r>
      <w:proofErr w:type="gramEnd"/>
      <w:r>
        <w:rPr>
          <w:rFonts w:ascii="Courier New" w:hAnsi="Courier New" w:cs="Courier New"/>
          <w:color w:val="FAF9F5"/>
          <w:sz w:val="18"/>
          <w:szCs w:val="18"/>
          <w:shd w:val="clear" w:color="auto" w:fill="30302E"/>
        </w:rPr>
        <w:t xml:space="preserve">* were conducted by 316 other California organizations. </w:t>
      </w:r>
      <w:proofErr w:type="spellStart"/>
      <w:r>
        <w:rPr>
          <w:rFonts w:ascii="Courier New" w:hAnsi="Courier New" w:cs="Courier New"/>
          <w:color w:val="FAF9F5"/>
          <w:sz w:val="18"/>
          <w:szCs w:val="18"/>
          <w:shd w:val="clear" w:color="auto" w:fill="30302E"/>
        </w:rPr>
        <w:t>DeFlock</w:t>
      </w:r>
      <w:proofErr w:type="spellEnd"/>
      <w:r>
        <w:rPr>
          <w:rFonts w:ascii="Courier New" w:hAnsi="Courier New" w:cs="Courier New"/>
          <w:color w:val="FAF9F5"/>
          <w:sz w:val="18"/>
          <w:szCs w:val="18"/>
          <w:shd w:val="clear" w:color="auto" w:fill="30302E"/>
        </w:rPr>
        <w:t xml:space="preserve"> argues this violates the spirit and letter of SB 34 because there is no mechanism to audit whether those outside agencies had legitimate investigative reasons for their searches. # **Yuba County — Local Findings** Through Flock’s public **Transparency Portal** for Yuba County, a detailed audit of search log data was conducted. All raw timestamps in the portal are in UTC (Zulu time), not Pacific — a critical detail that affects any time-of-day analysis. All findings below reflect data converted to Pacific Standard/Daylight time, accounting for the time change that occurred on March 8, 2026. ## **Finding 1: Missing Search Justifications (Independent </w:t>
      </w:r>
      <w:proofErr w:type="gramStart"/>
      <w:r>
        <w:rPr>
          <w:rFonts w:ascii="Courier New" w:hAnsi="Courier New" w:cs="Courier New"/>
          <w:color w:val="FAF9F5"/>
          <w:sz w:val="18"/>
          <w:szCs w:val="18"/>
          <w:shd w:val="clear" w:color="auto" w:fill="30302E"/>
        </w:rPr>
        <w:t>Concern)*</w:t>
      </w:r>
      <w:proofErr w:type="gramEnd"/>
      <w:r>
        <w:rPr>
          <w:rFonts w:ascii="Courier New" w:hAnsi="Courier New" w:cs="Courier New"/>
          <w:color w:val="FAF9F5"/>
          <w:sz w:val="18"/>
          <w:szCs w:val="18"/>
          <w:shd w:val="clear" w:color="auto" w:fill="30302E"/>
        </w:rPr>
        <w:t xml:space="preserve">* Approximately **53%** of all searches — more than half — have no reason entered whatsoever. This blank-reason problem is consistent across all hours of the day and is not disproportionately concentrated in after-hours periods. It represents a systemic documentation failure independent of when searches occur. Among the entries that do have reasons, the codes are highly inconsistent — the same investigation type appears in multiple forms (e.g., “Drug Investigation,” “Drug Inv,” “Drug Intel”) making pattern analysis difficult and audit trails unreliable. Notable specific entries include: - A named private individual (“Don Likens” / “Donald Likens”) cited as the reason across 6 searches spanning January 31–February 1, suggesting possible individual movement tracking. - Two entries show a birth date (“1936-10-01 00:00:00”) in the reason field, suggesting person-based searches and possible auto-population from the system. - Five searches cite “pattern of travel” as justification — carrying serious Fourth Amendment implications under Carpenter v. United States (2018). - Entries so vague they have no accountability value: “Sus,” “SC,” “fi/,” or raw case numbers with no context. ## **Finding 2: Concentrated After-Hours Search Activity (Independent </w:t>
      </w:r>
      <w:proofErr w:type="gramStart"/>
      <w:r>
        <w:rPr>
          <w:rFonts w:ascii="Courier New" w:hAnsi="Courier New" w:cs="Courier New"/>
          <w:color w:val="FAF9F5"/>
          <w:sz w:val="18"/>
          <w:szCs w:val="18"/>
          <w:shd w:val="clear" w:color="auto" w:fill="30302E"/>
        </w:rPr>
        <w:t>Concern)*</w:t>
      </w:r>
      <w:proofErr w:type="gramEnd"/>
      <w:r>
        <w:rPr>
          <w:rFonts w:ascii="Courier New" w:hAnsi="Courier New" w:cs="Courier New"/>
          <w:color w:val="FAF9F5"/>
          <w:sz w:val="18"/>
          <w:szCs w:val="18"/>
          <w:shd w:val="clear" w:color="auto" w:fill="30302E"/>
        </w:rPr>
        <w:t xml:space="preserve">* After correcting for UTC-to-Pacific time conversion, approximately **44–45%** of all searches occurred between 10:00 PM and 6:00 AM Pacific time. This concentration of activity in overnight hours is notable and warrants scrutiny. Both findings are independently significant: - **53%** of all searches across all hours have no documented reason. - **44–45%** of all searches occur between 10 PM–6 AM, regardless of documentation status. Because Yuba County’s improper documentation is visible on the public Transparency Portal without requiring a CPRA request, it is already on the public record and creates direct legal accountability exposure for the agency. A Flock camera was also identified in **Sutter County** via </w:t>
      </w:r>
      <w:r>
        <w:rPr>
          <w:rFonts w:ascii="Courier New" w:hAnsi="Courier New" w:cs="Courier New"/>
          <w:color w:val="FAF9F5"/>
          <w:sz w:val="18"/>
          <w:szCs w:val="18"/>
          <w:shd w:val="clear" w:color="auto" w:fill="30302E"/>
        </w:rPr>
        <w:lastRenderedPageBreak/>
        <w:t xml:space="preserve">the deflock.me map. That contract does not appear easily findable through public web searches — a CPRA request to Sutter County may be needed to confirm deployment details. # **YCSO Public Communications — Flock Notification Framing** The Yuba County Sheriff’s Office publishes monthly “numbers” graphics on its official Facebook page. These posts present operational statistics in a visually designed format, juxtaposing Flock notifications alongside arrests, bookings, and property crime counts. Analysis of 25 months of available posts (July 2023 through November 2025) reveals a pattern of presentation that is materially misleading to the public regarding Flock’s effectiveness. ## **The Definition Problem: What a “Flock Notification” Actually Is** Beginning in approximately mid-2024, the YCSO added a fine-print disclaimer to its monthly graphics defining the Flock figure. The disclaimer reads, in various forms: *“A Flock notification refers to an alert into Dispatch that a car passing one of the Flock cameras throughout the County is stolen or associated with an AMBER Alert or serious crime.”* By the YCSO’s own definition, a Flock notification is an **automated camera alert to dispatch** — not an investigation, not a search, not a stop, and not an arrest. The number represents the volume of flagged-plate detections, which may include duplicate detections of the same vehicle at multiple cameras, detections that were never acted upon, and alerts that dispatch received but deputies did not respond to. ## **The Framing Problem: Visual Association Without Causal Link** Despite the disclaimer’s technical accuracy, the graphic design of each monthly post places Flock notifications in direct visual proximity to the arrests figure — presented in the same box, at the same type size, under the same heading. There is no explanatory text connecting or separating these metrics. The reasonable public inference is that Flock notifications contributed to arrests. That inference is **not supported by any data the YCSO has </w:t>
      </w:r>
      <w:proofErr w:type="gramStart"/>
      <w:r>
        <w:rPr>
          <w:rFonts w:ascii="Courier New" w:hAnsi="Courier New" w:cs="Courier New"/>
          <w:color w:val="FAF9F5"/>
          <w:sz w:val="18"/>
          <w:szCs w:val="18"/>
          <w:shd w:val="clear" w:color="auto" w:fill="30302E"/>
        </w:rPr>
        <w:t>published.*</w:t>
      </w:r>
      <w:proofErr w:type="gramEnd"/>
      <w:r>
        <w:rPr>
          <w:rFonts w:ascii="Courier New" w:hAnsi="Courier New" w:cs="Courier New"/>
          <w:color w:val="FAF9F5"/>
          <w:sz w:val="18"/>
          <w:szCs w:val="18"/>
          <w:shd w:val="clear" w:color="auto" w:fill="30302E"/>
        </w:rPr>
        <w:t xml:space="preserve">* The earlier posts (July 2023, August 2023, December 2023, January 2024) used the term “Flock Hits” with **no definition at all** — an even less accountable presentation. The subsequent addition of the disclaimer represents a tacit acknowledgment that the prior framing was unclear, yet the visual juxtaposition with arrests was preserved throughout. ## **What the Data Shows — 25 Months of YCSO Facebook Posts** The following table compiles all available monthly figures extracted from YCSO Facebook posts. Note that 11 of 36 months in the July 2023–June 2026 window are absent from the page, with no explanation provided. The missing months may warrant a CPRA request. | **Month** | **Flock Notifications** | **Arrests** | **Notifications per Arrest** | **Burglaries** | **Calls for Service** | | --- | --- | --- | --- | --- | --- | | Jul 2023 | 673 | 328 | 2.1 | 21 | 5,818 | | Aug 2023 | 695 | 336 | 2.1 | 19 | 5,380 | | Dec 2023 | 724 | 296 | 2.4 | 20 | 4,146 | | Jan 2024 | 595 | 346 | 1.7 | 7 | 4,259 | | Feb 2024 | 928 | 290 | 3.2 | 12 | 3,811 | | Mar 2024 | 495 | 165 | 3.0 | 9 | 2,707 | | Apr 2024 | 439 | 177 | 2.5 | 15 | 2,766 | | Jun 2024 | 660 | 172 | 3.8 | 7 | 3,232 | | Jul 2024 | 612 | 264 | 2.3 | 14 | 3,597 | | Aug 2024 | 612 | 224 | 2.7 | 9 | 3,258 | | Sep 2024 | 612 | 217 | 2.8 | 15 | 4,943 | | Oct 2024 | 632 | 229 | 2.8 | 25 | 5,038 | | Nov 2024 | 952 | 192 | 5.0 | 18 | 4,445 | | Dec 2024 | 540 | 202 | 2.7 | 24 | 4,484 | | Jan 2025 | 545 | 192 | 2.8 | 15 | 4,571 | | Feb 2025 | 476 | 192 | 2.5 | 13 | 4,407 | | Mar 2025 | 413 | 165 | 2.5 | 24 | 4,391 | | Apr 2025 | 442 | 177 | 2.5 | 13 | 4,462 | | May 2025 | 788 | 224 | 3.5 | 14 | 5,238 | | Jun 2025 | 633 | 206 | 3.1 | 12 | 4,720 | | Jul 2025 | 568 | 166 | 3.4 | 20 | 4,397 | | Aug 2025 | 551 | 176 | 3.1 | 24 | 5,007 | | Sep 2025 | 478 | 166 | 2.9 | 23 | 4,465 | | Oct 2025 | 574 | 200 | 2.9 | 13 | 4,625 | | Nov 2025 | 423 | 138 | 3.1 | 10 | 4,179 | | **TOTAL / AVG** | **14,671** | **4,631** | **3.2 avg** | **405** | **—** | **Note: **"Notifications per arrest" is computed here for analytical purposes only. It does not imply any causal relationship. The arrests figure is total county arrests for all reasons; the Flock notification figure is automated camera alerts. No published data establishes how many notifications led to a stop, how many stops led to an arrest, or how many of those arrests were for the offense that triggered the notification. ## **Key Analytical Observations** - Across 25 months, the YCSO reported 14,671 Flock notifications and 4,631 total arrests. These figures are presented adjacently on every </w:t>
      </w:r>
      <w:r>
        <w:rPr>
          <w:rFonts w:ascii="Courier New" w:hAnsi="Courier New" w:cs="Courier New"/>
          <w:color w:val="FAF9F5"/>
          <w:sz w:val="18"/>
          <w:szCs w:val="18"/>
          <w:shd w:val="clear" w:color="auto" w:fill="30302E"/>
        </w:rPr>
        <w:lastRenderedPageBreak/>
        <w:t xml:space="preserve">monthly graphic but have no established causal connection. - Flock notifications fluctuate significantly month to month (range: 413–952), while arrests show a separate and largely uncorrelated pattern. The two metrics do not move together. - November 2024 recorded the highest notification count (952) yet one of the lower arrest totals (192) — the reverse of what a causal relationship would predict. - The YCSO has never published, in any format, a figure representing how many Flock notifications led to an enforcement action. The Phase 2 CPRA request below is designed to obtain this data. - The shift from “Flock Hits” (undefined) to “Flock Notifications” (defined, with disclaimer) in mid-2024 constitutes an implicit acknowledgment that the original terminology was inadequate — but the misleading visual layout was retained. ## **Questions for the Board of Supervisors** - Of the Flock notifications reported each month, how many resulted in a deputy being dispatched to investigate? - Of those dispatched responses, how many resulted in a stop or contact with a vehicle or person? - Of those contacts, how many resulted in an arrest, citation, or recovery of stolen property? - Has the YCSO ever produced an internal analysis of Flock’s notification-to-arrest conversion rate? If so, why has it not been shared with the Board or the public? - Is the Measure K Citizens Oversight Committee aware that the effectiveness metric routinely cited — Flock notifications — is an automated alert count with no established connection to enforcement outcomes? # **Effectiveness Claims and Confounding Variables** Law enforcement agencies, including Yuba County, cite improved crime clearance rates as a primary justification for Flock investment. These claims deserve scrutiny because clearance rate data cannot isolate Flock’s contribution from other simultaneous changes, particularly the rapid proliferation of consumer home surveillance systems. ## **The Attribution Problem** A crime is “cleared” when an arrest is </w:t>
      </w:r>
      <w:proofErr w:type="gramStart"/>
      <w:r>
        <w:rPr>
          <w:rFonts w:ascii="Courier New" w:hAnsi="Courier New" w:cs="Courier New"/>
          <w:color w:val="FAF9F5"/>
          <w:sz w:val="18"/>
          <w:szCs w:val="18"/>
          <w:shd w:val="clear" w:color="auto" w:fill="30302E"/>
        </w:rPr>
        <w:t>made</w:t>
      </w:r>
      <w:proofErr w:type="gramEnd"/>
      <w:r>
        <w:rPr>
          <w:rFonts w:ascii="Courier New" w:hAnsi="Courier New" w:cs="Courier New"/>
          <w:color w:val="FAF9F5"/>
          <w:sz w:val="18"/>
          <w:szCs w:val="18"/>
          <w:shd w:val="clear" w:color="auto" w:fill="30302E"/>
        </w:rPr>
        <w:t xml:space="preserve"> or the case is exceptionally cleared. The metric itself contains no information about which tool or tip produced the clearance. Home surveillance cameras (Ring, Nest, Blink, and similar products) have expanded dramatically over the same 2021–2026 period during which Flock was deployed in Yuba County. When an agency claims Flock improved clearance rates, there is a significant **attribution problem**: the same outcome could have been driven entirely by resident-provided footage, neighborhood tip networks, or other factors unrelated to ALPR searches. ## **Specific Confounders for Property Crimes** For burglary, vehicle theft, and vandalism — the categories most commonly cited in Flock promotional materials — several independent variables complicate any clearance rate comparison: - **Doorbell and driveway cameras** are now standard in many Yuba County residential areas. Homeowners frequently share footage directly with investigators, often resolving cases with no ALPR involvement. - **Neighborhood platforms** such as </w:t>
      </w:r>
      <w:proofErr w:type="spellStart"/>
      <w:r>
        <w:rPr>
          <w:rFonts w:ascii="Courier New" w:hAnsi="Courier New" w:cs="Courier New"/>
          <w:color w:val="FAF9F5"/>
          <w:sz w:val="18"/>
          <w:szCs w:val="18"/>
          <w:shd w:val="clear" w:color="auto" w:fill="30302E"/>
        </w:rPr>
        <w:t>Nextdoor</w:t>
      </w:r>
      <w:proofErr w:type="spellEnd"/>
      <w:r>
        <w:rPr>
          <w:rFonts w:ascii="Courier New" w:hAnsi="Courier New" w:cs="Courier New"/>
          <w:color w:val="FAF9F5"/>
          <w:sz w:val="18"/>
          <w:szCs w:val="18"/>
          <w:shd w:val="clear" w:color="auto" w:fill="30302E"/>
        </w:rPr>
        <w:t xml:space="preserve"> and Ring’s Neighbors app facilitate rapid informal tip-sharing that can lead to arrests entirely outside the Flock system. - **Deterrence effects of visible home cameras** may independently reduce property crime, shrinking the denominator of crimes committed while Flock receives credit for any cases that are cleared. - **Staffing changes** funded by Measure K (26 new sheriff’s department positions) represent an independent variable that could improve clearance rates regardless of any surveillance technology. ## **What the Transparency Portal Data Does Not Show** The Flock search audit data obtained via CPRA and available on the Transparency Portal logs searches — it does not contain outcome data. There is no field linking a given search to an arrest, a case clearance, or any investigative result. This means the county cannot demonstrate, from its own published data, that any specific Flock search contributed to a cleared case. ## **Questions for the Board of Supervisors** - Were clearance rates broken down by crime type and compared against a pre-Flock baseline that accounts for concurrent changes in home surveillance density? - Is there case-level documentation linking specific Flock ALPR hits to cleared cases, as opposed to cases cleared through resident footage, tips, or other means? - How have clearance rates for crimes not typically involving vehicles — where ALPR would have no relevance — changed over the same period? A comparable trend would suggest the driver is something other than </w:t>
      </w:r>
      <w:r>
        <w:rPr>
          <w:rFonts w:ascii="Courier New" w:hAnsi="Courier New" w:cs="Courier New"/>
          <w:color w:val="FAF9F5"/>
          <w:sz w:val="18"/>
          <w:szCs w:val="18"/>
          <w:shd w:val="clear" w:color="auto" w:fill="30302E"/>
        </w:rPr>
        <w:lastRenderedPageBreak/>
        <w:t xml:space="preserve">Flock. - What methodology was used to attribute clearance rate improvements specifically to Flock, and has that methodology been independently reviewed? The core argument is not that Flock never contributes to clearances — it is that the county has accepted significant civil liberties risks and ongoing taxpayer expense based on effectiveness claims that are **methodologically unsupportable** without controls for these confounding variables. # **Measure K — The Funding Mechanism** Measure K is a local sales tax approved by Yuba County voters to fund public safety. It has funded Flock cameras, body-worn cameras, upgraded dispatch systems, and **26 new sheriff’s department positions**. Voters approved Measure K for broad “public safety” purposes — they were not specifically informed that funds would go toward a Flock surveillance system with documented security vulnerabilities and SB 34 compliance gaps. This undermines the argument that the community approved this specific spending. # **Conflict of Interest — Undersheriff </w:t>
      </w:r>
      <w:proofErr w:type="spellStart"/>
      <w:r>
        <w:rPr>
          <w:rFonts w:ascii="Courier New" w:hAnsi="Courier New" w:cs="Courier New"/>
          <w:color w:val="FAF9F5"/>
          <w:sz w:val="18"/>
          <w:szCs w:val="18"/>
          <w:shd w:val="clear" w:color="auto" w:fill="30302E"/>
        </w:rPr>
        <w:t>Morawczewski</w:t>
      </w:r>
      <w:proofErr w:type="spellEnd"/>
      <w:r>
        <w:rPr>
          <w:rFonts w:ascii="Courier New" w:hAnsi="Courier New" w:cs="Courier New"/>
          <w:color w:val="FAF9F5"/>
          <w:sz w:val="18"/>
          <w:szCs w:val="18"/>
          <w:shd w:val="clear" w:color="auto" w:fill="30302E"/>
        </w:rPr>
        <w:t xml:space="preserve">** Undersheriff </w:t>
      </w:r>
      <w:proofErr w:type="spellStart"/>
      <w:r>
        <w:rPr>
          <w:rFonts w:ascii="Courier New" w:hAnsi="Courier New" w:cs="Courier New"/>
          <w:color w:val="FAF9F5"/>
          <w:sz w:val="18"/>
          <w:szCs w:val="18"/>
          <w:shd w:val="clear" w:color="auto" w:fill="30302E"/>
        </w:rPr>
        <w:t>Morawczewski</w:t>
      </w:r>
      <w:proofErr w:type="spellEnd"/>
      <w:r>
        <w:rPr>
          <w:rFonts w:ascii="Courier New" w:hAnsi="Courier New" w:cs="Courier New"/>
          <w:color w:val="FAF9F5"/>
          <w:sz w:val="18"/>
          <w:szCs w:val="18"/>
          <w:shd w:val="clear" w:color="auto" w:fill="30302E"/>
        </w:rPr>
        <w:t xml:space="preserve"> chairs the Measure K Citizens Oversight Committee — the body responsible for independently evaluating how Measure K funds are spent. He also manages the sheriff’s department that directly benefits from those funds, including the Flock system and the 26 positions Measure K created. This is a textbook conflict of interest under **California Government Code Section 1090**, which prohibits public officials from participating in decisions where they have a direct material interest. A complaint could be filed with the Fair Political Practices Commission (FPPC) or the county counsel. ## **The Oversight Committee — Four Years of Theatre** From August 2022 through February 2026, the Measure K Citizens Oversight Committee has met with nearly identical bare-bones agendas: elect officers, approve minutes, receive department updates, set future dates, and adjourn. There has been no substantive examination of specific expenditures, no scrutiny of Flock’s compliance with SB 34, and no independent review of how the surveillance system is being used. The committee exists on paper to satisfy legal oversight requirements but has functioned as a rubber stamp. # **Supervisor Bradford — Community Engagement** On the Plumas Lake subreddit, Supervisor Bradford defended Flock by citing the sheriff’s characterization of it as a “game changer” and pointing to the Flock transparency portal. When pressed for specific statistics, he admitted he had none and said he would ask the sheriff for data. His posts in both the Plumas Lake subreddit and the Plumas Lake Chatter Facebook group received little to no engagement, undermining claims of strong community support. His “representative democracy” argument — that the community had a voice through public meetings — is weakened by the fact that Measure K voters were not specifically informed about Flock spending, and the oversight committee has not held the board accountable. # **Quarterly Public Safety Presentation** A June 2024 Yuba County Board of Supervisors meeting video shows Undersheriff </w:t>
      </w:r>
      <w:proofErr w:type="spellStart"/>
      <w:r>
        <w:rPr>
          <w:rFonts w:ascii="Courier New" w:hAnsi="Courier New" w:cs="Courier New"/>
          <w:color w:val="FAF9F5"/>
          <w:sz w:val="18"/>
          <w:szCs w:val="18"/>
          <w:shd w:val="clear" w:color="auto" w:fill="30302E"/>
        </w:rPr>
        <w:t>Morawczewski</w:t>
      </w:r>
      <w:proofErr w:type="spellEnd"/>
      <w:r>
        <w:rPr>
          <w:rFonts w:ascii="Courier New" w:hAnsi="Courier New" w:cs="Courier New"/>
          <w:color w:val="FAF9F5"/>
          <w:sz w:val="18"/>
          <w:szCs w:val="18"/>
          <w:shd w:val="clear" w:color="auto" w:fill="30302E"/>
        </w:rPr>
        <w:t xml:space="preserve"> presenting quarterly public safety statistics and referencing Flock’s impact. Critically, this presentation does not appear in the official meeting minutes — a transparency gap in itself. This video needs to be reviewed to document exactly what claims were made about Flock’s effectiveness so they can be cross-referenced against the transparency portal audit data. # **Documented Flock Security Vulnerabilities** - Senator Ron Wyden’s investigation found Flock does not require multi-factor authentication. - At least 35 customer account passwords were stolen by hackers. - Flock cameras and admin dashboards were publicly accessible at one point. - A Texas case documented deputies using Flock to track a woman across 83,000 cameras. - In Joplin, Missouri, an officer abused the system for over a year before it was caught. # **Presentation Strategy ****&amp;**** Communication Approach** The following principles govern how findings should be communicated in face-to-face and public settings, including the planned June 2026 Board of Supervisors presentation. ## **The “Fresh Eyes” Advantage** This research was conducted by someone new to local government, public records practice, and Board of Supervisors proceedings. That is a strategic asset, not a liability. Framing the presentation from a position of genuine civic curiosity — rather than entrenched opposition — disarms defensiveness and makes findings harder to dismiss as a political </w:t>
      </w:r>
      <w:r>
        <w:rPr>
          <w:rFonts w:ascii="Courier New" w:hAnsi="Courier New" w:cs="Courier New"/>
          <w:color w:val="FAF9F5"/>
          <w:sz w:val="18"/>
          <w:szCs w:val="18"/>
          <w:shd w:val="clear" w:color="auto" w:fill="30302E"/>
        </w:rPr>
        <w:lastRenderedPageBreak/>
        <w:t xml:space="preserve">attack. **Suggested opening </w:t>
      </w:r>
      <w:proofErr w:type="gramStart"/>
      <w:r>
        <w:rPr>
          <w:rFonts w:ascii="Courier New" w:hAnsi="Courier New" w:cs="Courier New"/>
          <w:color w:val="FAF9F5"/>
          <w:sz w:val="18"/>
          <w:szCs w:val="18"/>
          <w:shd w:val="clear" w:color="auto" w:fill="30302E"/>
        </w:rPr>
        <w:t>framing:*</w:t>
      </w:r>
      <w:proofErr w:type="gramEnd"/>
      <w:r>
        <w:rPr>
          <w:rFonts w:ascii="Courier New" w:hAnsi="Courier New" w:cs="Courier New"/>
          <w:color w:val="FAF9F5"/>
          <w:sz w:val="18"/>
          <w:szCs w:val="18"/>
          <w:shd w:val="clear" w:color="auto" w:fill="30302E"/>
        </w:rPr>
        <w:t xml:space="preserve">* “I’m new to this process, so I came in without assumptions about how things work. Here’s what the data showed when I looked at it fresh.” ## **Policy Criticism, Not Personal Attack** The goal is to critique governance gaps and policy failures — not to accuse individuals of wrongdoing. Practically, this means: - Lead with “the system lacks adequate oversight” rather than “the sheriff is misusing this tool.” - Frame the Measure K oversight committee as a structural failure, not a personal one. - Present the </w:t>
      </w:r>
      <w:proofErr w:type="gramStart"/>
      <w:r>
        <w:rPr>
          <w:rFonts w:ascii="Courier New" w:hAnsi="Courier New" w:cs="Courier New"/>
          <w:color w:val="FAF9F5"/>
          <w:sz w:val="18"/>
          <w:szCs w:val="18"/>
          <w:shd w:val="clear" w:color="auto" w:fill="30302E"/>
        </w:rPr>
        <w:t>conflict of interest</w:t>
      </w:r>
      <w:proofErr w:type="gramEnd"/>
      <w:r>
        <w:rPr>
          <w:rFonts w:ascii="Courier New" w:hAnsi="Courier New" w:cs="Courier New"/>
          <w:color w:val="FAF9F5"/>
          <w:sz w:val="18"/>
          <w:szCs w:val="18"/>
          <w:shd w:val="clear" w:color="auto" w:fill="30302E"/>
        </w:rPr>
        <w:t xml:space="preserve"> issue as a policy problem requiring a structural fix, not a character indictment. - Acknowledge that law enforcement faces real challenges — the argument is about accountability mechanisms, not intent. ## **Handling the “Your Phone Already Tracks You” Argument** - **Consent and </w:t>
      </w:r>
      <w:proofErr w:type="gramStart"/>
      <w:r>
        <w:rPr>
          <w:rFonts w:ascii="Courier New" w:hAnsi="Courier New" w:cs="Courier New"/>
          <w:color w:val="FAF9F5"/>
          <w:sz w:val="18"/>
          <w:szCs w:val="18"/>
          <w:shd w:val="clear" w:color="auto" w:fill="30302E"/>
        </w:rPr>
        <w:t>control:*</w:t>
      </w:r>
      <w:proofErr w:type="gramEnd"/>
      <w:r>
        <w:rPr>
          <w:rFonts w:ascii="Courier New" w:hAnsi="Courier New" w:cs="Courier New"/>
          <w:color w:val="FAF9F5"/>
          <w:sz w:val="18"/>
          <w:szCs w:val="18"/>
          <w:shd w:val="clear" w:color="auto" w:fill="30302E"/>
        </w:rPr>
        <w:t xml:space="preserve">* You chose your phone and can theoretically opt out. You cannot opt out of driving on public roads past a Flock camera. - **Power </w:t>
      </w:r>
      <w:proofErr w:type="gramStart"/>
      <w:r>
        <w:rPr>
          <w:rFonts w:ascii="Courier New" w:hAnsi="Courier New" w:cs="Courier New"/>
          <w:color w:val="FAF9F5"/>
          <w:sz w:val="18"/>
          <w:szCs w:val="18"/>
          <w:shd w:val="clear" w:color="auto" w:fill="30302E"/>
        </w:rPr>
        <w:t>asymmetry:*</w:t>
      </w:r>
      <w:proofErr w:type="gramEnd"/>
      <w:r>
        <w:rPr>
          <w:rFonts w:ascii="Courier New" w:hAnsi="Courier New" w:cs="Courier New"/>
          <w:color w:val="FAF9F5"/>
          <w:sz w:val="18"/>
          <w:szCs w:val="18"/>
          <w:shd w:val="clear" w:color="auto" w:fill="30302E"/>
        </w:rPr>
        <w:t xml:space="preserve">* Private companies have some liability for misuse; government databases can be accessed across agencies with weaker controls. - **Legal </w:t>
      </w:r>
      <w:proofErr w:type="gramStart"/>
      <w:r>
        <w:rPr>
          <w:rFonts w:ascii="Courier New" w:hAnsi="Courier New" w:cs="Courier New"/>
          <w:color w:val="FAF9F5"/>
          <w:sz w:val="18"/>
          <w:szCs w:val="18"/>
          <w:shd w:val="clear" w:color="auto" w:fill="30302E"/>
        </w:rPr>
        <w:t>trajectory:*</w:t>
      </w:r>
      <w:proofErr w:type="gramEnd"/>
      <w:r>
        <w:rPr>
          <w:rFonts w:ascii="Courier New" w:hAnsi="Courier New" w:cs="Courier New"/>
          <w:color w:val="FAF9F5"/>
          <w:sz w:val="18"/>
          <w:szCs w:val="18"/>
          <w:shd w:val="clear" w:color="auto" w:fill="30302E"/>
        </w:rPr>
        <w:t xml:space="preserve">* Carpenter v. United States (2018) established that aggregate location patterns deserve Fourth Amendment protection. - **The reductio ad </w:t>
      </w:r>
      <w:proofErr w:type="gramStart"/>
      <w:r>
        <w:rPr>
          <w:rFonts w:ascii="Courier New" w:hAnsi="Courier New" w:cs="Courier New"/>
          <w:color w:val="FAF9F5"/>
          <w:sz w:val="18"/>
          <w:szCs w:val="18"/>
          <w:shd w:val="clear" w:color="auto" w:fill="30302E"/>
        </w:rPr>
        <w:t>absurdum:*</w:t>
      </w:r>
      <w:proofErr w:type="gramEnd"/>
      <w:r>
        <w:rPr>
          <w:rFonts w:ascii="Courier New" w:hAnsi="Courier New" w:cs="Courier New"/>
          <w:color w:val="FAF9F5"/>
          <w:sz w:val="18"/>
          <w:szCs w:val="18"/>
          <w:shd w:val="clear" w:color="auto" w:fill="30302E"/>
        </w:rPr>
        <w:t xml:space="preserve">* Accepting “it solves crimes” as sufficient justification has no principled stopping point. We draw lines based on values, not just efficiency. ## **National Surveillance Context: The FBI Admission (March </w:t>
      </w:r>
      <w:proofErr w:type="gramStart"/>
      <w:r>
        <w:rPr>
          <w:rFonts w:ascii="Courier New" w:hAnsi="Courier New" w:cs="Courier New"/>
          <w:color w:val="FAF9F5"/>
          <w:sz w:val="18"/>
          <w:szCs w:val="18"/>
          <w:shd w:val="clear" w:color="auto" w:fill="30302E"/>
        </w:rPr>
        <w:t>2026)*</w:t>
      </w:r>
      <w:proofErr w:type="gramEnd"/>
      <w:r>
        <w:rPr>
          <w:rFonts w:ascii="Courier New" w:hAnsi="Courier New" w:cs="Courier New"/>
          <w:color w:val="FAF9F5"/>
          <w:sz w:val="18"/>
          <w:szCs w:val="18"/>
          <w:shd w:val="clear" w:color="auto" w:fill="30302E"/>
        </w:rPr>
        <w:t xml:space="preserve">* On March 18, 2026, FBI Director Kash Patel testified before the Senate Intelligence Committee and confirmed that the FBI is actively purchasing commercially available location data on Americans — without warrants. This reversed the position of Patel’s predecessor. The anchor should always return to the local data: 53% of searches with no documented reason, visible on a public portal, representing a compliance failure under existing California law. # **The Transparency Portal Is Not SB 34 Compliance** The Flock Safety Transparency Portal is a public-facing product feature controlled by Flock Safety, the vendor. Flock determines which fields are visible, which are redacted, and what is omitted entirely. It is not a legal compliance document — it is a marketing and public relations tool that happens to contain some audit data. The YCSO’s SB 34 compliance obligations are entirely independent of what Flock chooses to publish. ## **What SB 34 Actually Requires** California Vehicle Code § 2413 (SB 34) requires the **agency** — not the vendor — to maintain an ALPR usage policy and audit logs sufficient to demonstrate that every search was conducted for an authorized purpose, by an authorized user, in connection with an active investigation. The law does not define compliance as “whatever the vendor publishes publicly.” YCSO’s SB 34-compliant internal logs should contain everything visible on the portal plus: the unredacted user identity and badge or employee ID behind each search; the specific case number the search was tied to; any supervisory authorization or notes beyond the reason field; and a complete, unedited edit history showing whether reason fields were modified after the fact. ## **The Compliance Gap** If YCSO is relying solely on the Transparency Portal as its SB 34 audit log — with user IDs redacted and no case-level linkage — it is not in compliance with the statute. A redacted portal entry establishes that *someone* searched the system. It does not establish *who*, under what authority, or for what specific investigation — the precise elements SB 34 is designed to document. A Phase 2 CPRA request for the internal unredacted logs will resolve this one of two ways: - The logs exist and are more complete than the portal — in which case YCSO has been presenting a sanitized public view while withholding the full compliance record, and the unredacted data becomes the basis for accountability questions; or - The logs do not exist beyond what is on the portal — in which case YCSO has been out of SB 34 compliance for the entire duration of Flock’s deployment, because the portal’s redacted, unattributed entries do not satisfy the statute’s requirements. Both outcomes are significant. Both can also be simultaneously true in different dimensions — YCSO may have partial internal logs that are more complete than the portal in some fields, while still failing to track other required elements entirely. Either way, the redactions themselves are data: if YCSO produces logs with entire columns blacked out, the existence of those columns is confirmed, and the </w:t>
      </w:r>
      <w:r>
        <w:rPr>
          <w:rFonts w:ascii="Courier New" w:hAnsi="Courier New" w:cs="Courier New"/>
          <w:color w:val="FAF9F5"/>
          <w:sz w:val="18"/>
          <w:szCs w:val="18"/>
          <w:shd w:val="clear" w:color="auto" w:fill="30302E"/>
        </w:rPr>
        <w:lastRenderedPageBreak/>
        <w:t>question of what is in them becomes a legitimate follow-up. ## **What Even a Sanitized Response Reveals** A redacted or partial CPRA response to a Phase 2 request for internal logs still yields usable evidence: - Whether reason fields in internal logs match the portal — or were edited before publication. - Whether internal logs contain search records absent from the portal entirely. - Whether timestamps in internal logs match the scraped portal data — discrepancies could indicate backdating or post-hoc editing, consistent with anomalies already flagged by the daily scrape pipeline. - The total record count, which can be compared against the scraped dataset to identify suppressed or omitted entries. - Which fields were redacted — confirming those fields exist and providing grounds for follow-up challenge under Government Code § 7922.525, which requires agencies to identify the specific exemption claimed for each withheld element. # **Two Data Streams, One Accountability Gap** Two independent data sources are now available for this research: the YCSO’s monthly Facebook statistics (25 months, July 2023–November 2025) and the daily scrape of the Flock Safety Transparency Portal search audit logs. These data streams measure fundamentally different things — and the gap between them is itself an accountability finding. ## **What Each Dataset Measures** **Facebook “Flock Notifications”: **Automated camera alerts fired to dispatch when a flagged plate (stolen vehicle, stolen plates, AMBER Alert, or serious crime flag) passes a Flock camera. This is a *passive, automated event*. No human decision is required to generate a notification. One vehicle passing multiple cameras generates multiple notifications. There is no published data on how many notifications were acted upon. **Transparency Portal Search Audit Logs: **Active queries initiated by a deputy or dispatcher against the Flock database — looking up a specific plate, running a search by vehicle description, or reviewing a plate’s travel history. This is a *human-initiated action* that SB 34 requires to be documented with a reason. Approximately 53% of these entries have no reason recorded. ## **The Gap Between the Two** These two data types are not connected in any public data. When a Flock notification fires, it is unknown from public records whether that alert generated a search log entry, whether a deputy was dispatched, whether a stop occurred, or what the outcome was. When a search appears in the Transparency Portal, it is unknown whether it was triggered by a Flock notification, initiated proactively by a deputy, or conducted for reasons unrelated to any active alert. The result is two independent data streams that together expose a larger accountability gap than either one does alone: - The Transparency Portal shows searches with no documented justification (53% blank reason rate) — a compliance failure at the point of human action. - The Facebook data shows notifications with no documented outcomes — a transparency failure at the point of automated detection. - Neither dataset connects to the other. The full chain of events — from camera detection through dispatch alert through search through enforcement action through case outcome — is completely invisible in any public data. This invisibility is not a technical limitation — it is a governance failure. The data to connect these dots exists internally. The Phase 2 CPRA request targets the internal audit logs that should bridge this gap. Whatever YCSO produces — complete, partial, or a claim of no records — will itself be a significant finding for the Board of Supervisors presentation. # **Timeline and Strategy** - Continue gathering research through the end of April 2026. - Use May 2026 to organize, verify, and package all findings. - Present publicly in June 2026 — targeting community groups first, then the Board of Supervisors. - Frame arguments around systemic governance failures, not personal attacks. - Open with a disarming “fresh eyes” statement that establishes good faith and data-driven intent. - Phase 2 CPRA: Request notification-to-enforcement outcome data (see CPRA template below). - The quarterly public safety video and Measure K oversight committee reports remain the two most important outstanding research items. *Confidential Research Document | Yuba County Flock Safety Oversight Project | Updated March 20, 2026*</w:t>
      </w:r>
    </w:p>
    <w:sectPr w:rsidR="00B050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0A6"/>
    <w:rsid w:val="0021681A"/>
    <w:rsid w:val="00B05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D11BC5"/>
  <w15:chartTrackingRefBased/>
  <w15:docId w15:val="{4A721A91-6E61-AB4C-B860-824935FB3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0A6"/>
    <w:rPr>
      <w:rFonts w:eastAsiaTheme="majorEastAsia" w:cstheme="majorBidi"/>
      <w:color w:val="272727" w:themeColor="text1" w:themeTint="D8"/>
    </w:rPr>
  </w:style>
  <w:style w:type="paragraph" w:styleId="Title">
    <w:name w:val="Title"/>
    <w:basedOn w:val="Normal"/>
    <w:next w:val="Normal"/>
    <w:link w:val="TitleChar"/>
    <w:uiPriority w:val="10"/>
    <w:qFormat/>
    <w:rsid w:val="00B05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0A6"/>
    <w:pPr>
      <w:spacing w:before="160"/>
      <w:jc w:val="center"/>
    </w:pPr>
    <w:rPr>
      <w:i/>
      <w:iCs/>
      <w:color w:val="404040" w:themeColor="text1" w:themeTint="BF"/>
    </w:rPr>
  </w:style>
  <w:style w:type="character" w:customStyle="1" w:styleId="QuoteChar">
    <w:name w:val="Quote Char"/>
    <w:basedOn w:val="DefaultParagraphFont"/>
    <w:link w:val="Quote"/>
    <w:uiPriority w:val="29"/>
    <w:rsid w:val="00B050A6"/>
    <w:rPr>
      <w:i/>
      <w:iCs/>
      <w:color w:val="404040" w:themeColor="text1" w:themeTint="BF"/>
    </w:rPr>
  </w:style>
  <w:style w:type="paragraph" w:styleId="ListParagraph">
    <w:name w:val="List Paragraph"/>
    <w:basedOn w:val="Normal"/>
    <w:uiPriority w:val="34"/>
    <w:qFormat/>
    <w:rsid w:val="00B050A6"/>
    <w:pPr>
      <w:ind w:left="720"/>
      <w:contextualSpacing/>
    </w:pPr>
  </w:style>
  <w:style w:type="character" w:styleId="IntenseEmphasis">
    <w:name w:val="Intense Emphasis"/>
    <w:basedOn w:val="DefaultParagraphFont"/>
    <w:uiPriority w:val="21"/>
    <w:qFormat/>
    <w:rsid w:val="00B050A6"/>
    <w:rPr>
      <w:i/>
      <w:iCs/>
      <w:color w:val="0F4761" w:themeColor="accent1" w:themeShade="BF"/>
    </w:rPr>
  </w:style>
  <w:style w:type="paragraph" w:styleId="IntenseQuote">
    <w:name w:val="Intense Quote"/>
    <w:basedOn w:val="Normal"/>
    <w:next w:val="Normal"/>
    <w:link w:val="IntenseQuoteChar"/>
    <w:uiPriority w:val="30"/>
    <w:qFormat/>
    <w:rsid w:val="00B05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0A6"/>
    <w:rPr>
      <w:i/>
      <w:iCs/>
      <w:color w:val="0F4761" w:themeColor="accent1" w:themeShade="BF"/>
    </w:rPr>
  </w:style>
  <w:style w:type="character" w:styleId="IntenseReference">
    <w:name w:val="Intense Reference"/>
    <w:basedOn w:val="DefaultParagraphFont"/>
    <w:uiPriority w:val="32"/>
    <w:qFormat/>
    <w:rsid w:val="00B050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6979</Words>
  <Characters>40761</Characters>
  <Application>Microsoft Office Word</Application>
  <DocSecurity>0</DocSecurity>
  <Lines>574</Lines>
  <Paragraphs>2</Paragraphs>
  <ScaleCrop>false</ScaleCrop>
  <Company/>
  <LinksUpToDate>false</LinksUpToDate>
  <CharactersWithSpaces>47738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Hammock</dc:creator>
  <cp:keywords/>
  <dc:description/>
  <cp:lastModifiedBy>Thomas Hammock</cp:lastModifiedBy>
  <cp:revision>1</cp:revision>
  <dcterms:created xsi:type="dcterms:W3CDTF">2026-03-22T04:18:00Z</dcterms:created>
  <dcterms:modified xsi:type="dcterms:W3CDTF">2026-03-22T04:20:00Z</dcterms:modified>
</cp:coreProperties>
</file>