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67A" w14:textId="692655EF" w:rsidR="00A671BF" w:rsidRDefault="00A671BF" w:rsidP="00A671BF">
      <w:r>
        <w:t>Diogo Ye 56726 – O use case apresenta estar correto</w:t>
      </w:r>
      <w:r w:rsidR="00FE6E81">
        <w:t>.</w:t>
      </w:r>
    </w:p>
    <w:p w14:paraId="1F6693CB" w14:textId="77777777" w:rsidR="005F1168" w:rsidRPr="00A671BF" w:rsidRDefault="005F1168" w:rsidP="00A671BF"/>
    <w:sectPr w:rsidR="005F1168" w:rsidRPr="00A6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F"/>
    <w:rsid w:val="005F1168"/>
    <w:rsid w:val="00A671BF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F044"/>
  <w15:chartTrackingRefBased/>
  <w15:docId w15:val="{D58209EF-E08F-4CAA-890A-61CF745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B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2</cp:revision>
  <dcterms:created xsi:type="dcterms:W3CDTF">2021-12-06T13:28:00Z</dcterms:created>
  <dcterms:modified xsi:type="dcterms:W3CDTF">2021-12-06T22:12:00Z</dcterms:modified>
</cp:coreProperties>
</file>