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A57" w:rsidRDefault="00F53A57" w:rsidP="00F53A57">
      <w:pPr>
        <w:pStyle w:val="1"/>
        <w:numPr>
          <w:ilvl w:val="0"/>
          <w:numId w:val="0"/>
        </w:numPr>
        <w:ind w:left="-5"/>
      </w:pPr>
    </w:p>
    <w:p w:rsidR="00F53A57" w:rsidRDefault="00F53A57" w:rsidP="00F53A57">
      <w:pPr>
        <w:pStyle w:val="1"/>
        <w:numPr>
          <w:ilvl w:val="0"/>
          <w:numId w:val="0"/>
        </w:numPr>
        <w:spacing w:after="0"/>
        <w:ind w:left="-5"/>
      </w:pPr>
      <w:r>
        <w:t>Анализ сфер применения VR</w:t>
      </w:r>
    </w:p>
    <w:tbl>
      <w:tblPr>
        <w:tblStyle w:val="TableGrid"/>
        <w:tblW w:w="9615" w:type="dxa"/>
        <w:tblInd w:w="5" w:type="dxa"/>
        <w:tblCellMar>
          <w:left w:w="101" w:type="dxa"/>
          <w:right w:w="97" w:type="dxa"/>
        </w:tblCellMar>
        <w:tblLook w:val="04A0" w:firstRow="1" w:lastRow="0" w:firstColumn="1" w:lastColumn="0" w:noHBand="0" w:noVBand="1"/>
      </w:tblPr>
      <w:tblGrid>
        <w:gridCol w:w="2818"/>
        <w:gridCol w:w="3155"/>
        <w:gridCol w:w="3642"/>
      </w:tblGrid>
      <w:tr w:rsidR="00F53A57" w:rsidTr="009367D5">
        <w:trPr>
          <w:trHeight w:val="269"/>
        </w:trPr>
        <w:tc>
          <w:tcPr>
            <w:tcW w:w="28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A57" w:rsidRDefault="00F53A57" w:rsidP="00A22BAE"/>
        </w:tc>
        <w:tc>
          <w:tcPr>
            <w:tcW w:w="3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10"/>
            </w:pPr>
            <w:r>
              <w:rPr>
                <w:rFonts w:ascii="Arial" w:eastAsia="Arial" w:hAnsi="Arial" w:cs="Arial"/>
                <w:sz w:val="23"/>
              </w:rPr>
              <w:t>Текущий годовой размер рынка</w:t>
            </w:r>
          </w:p>
        </w:tc>
        <w:tc>
          <w:tcPr>
            <w:tcW w:w="3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  <w:jc w:val="both"/>
            </w:pPr>
            <w:r>
              <w:rPr>
                <w:rFonts w:ascii="Arial" w:eastAsia="Arial" w:hAnsi="Arial" w:cs="Arial"/>
                <w:sz w:val="23"/>
              </w:rPr>
              <w:t>Прогноз роста рынка за год</w:t>
            </w:r>
          </w:p>
        </w:tc>
      </w:tr>
      <w:tr w:rsidR="00F53A57" w:rsidTr="009367D5">
        <w:trPr>
          <w:trHeight w:val="269"/>
        </w:trPr>
        <w:tc>
          <w:tcPr>
            <w:tcW w:w="28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/>
        </w:tc>
        <w:tc>
          <w:tcPr>
            <w:tcW w:w="31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/>
        </w:tc>
        <w:tc>
          <w:tcPr>
            <w:tcW w:w="36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/>
        </w:tc>
      </w:tr>
      <w:tr w:rsidR="00F53A57" w:rsidTr="009367D5">
        <w:trPr>
          <w:trHeight w:val="189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Видеоигры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10"/>
            </w:pPr>
            <w:r>
              <w:rPr>
                <w:rFonts w:ascii="Arial" w:eastAsia="Arial" w:hAnsi="Arial" w:cs="Arial"/>
                <w:sz w:val="23"/>
              </w:rPr>
              <w:t>$106 млрд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spacing w:line="244" w:lineRule="auto"/>
              <w:ind w:left="5"/>
            </w:pPr>
            <w:r>
              <w:rPr>
                <w:rFonts w:ascii="Arial" w:eastAsia="Arial" w:hAnsi="Arial" w:cs="Arial"/>
                <w:sz w:val="23"/>
              </w:rPr>
              <w:t>~$230 млн для рынка консолей</w:t>
            </w:r>
          </w:p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~$150 млн для рынка</w:t>
            </w:r>
          </w:p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ПК</w:t>
            </w:r>
          </w:p>
        </w:tc>
      </w:tr>
      <w:tr w:rsidR="00F53A57" w:rsidTr="009367D5">
        <w:trPr>
          <w:trHeight w:val="283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  <w:jc w:val="both"/>
            </w:pPr>
            <w:r>
              <w:rPr>
                <w:rFonts w:ascii="Arial" w:eastAsia="Arial" w:hAnsi="Arial" w:cs="Arial"/>
                <w:sz w:val="23"/>
              </w:rPr>
              <w:t>Мероприятия в прямом эфире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10"/>
            </w:pPr>
            <w:r>
              <w:rPr>
                <w:rFonts w:ascii="Arial" w:eastAsia="Arial" w:hAnsi="Arial" w:cs="Arial"/>
                <w:sz w:val="23"/>
              </w:rPr>
              <w:t>$44 млрд от продажи билетов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~715 млн зрителей</w:t>
            </w:r>
          </w:p>
          <w:p w:rsidR="00F53A57" w:rsidRDefault="00F53A57" w:rsidP="00A22BAE">
            <w:pPr>
              <w:spacing w:after="5"/>
              <w:ind w:left="5" w:right="288"/>
              <w:jc w:val="both"/>
            </w:pPr>
            <w:r>
              <w:rPr>
                <w:rFonts w:ascii="Arial" w:eastAsia="Arial" w:hAnsi="Arial" w:cs="Arial"/>
                <w:sz w:val="23"/>
              </w:rPr>
              <w:t xml:space="preserve">Кубка мира ~160 млн зрителей финала </w:t>
            </w:r>
            <w:proofErr w:type="spellStart"/>
            <w:r>
              <w:rPr>
                <w:rFonts w:ascii="Arial" w:eastAsia="Arial" w:hAnsi="Arial" w:cs="Arial"/>
                <w:sz w:val="23"/>
              </w:rPr>
              <w:t>Super</w:t>
            </w:r>
            <w:proofErr w:type="spellEnd"/>
            <w:r>
              <w:rPr>
                <w:rFonts w:ascii="Arial" w:eastAsia="Arial" w:hAnsi="Arial" w:cs="Arial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3"/>
              </w:rPr>
              <w:t>Bowl</w:t>
            </w:r>
            <w:proofErr w:type="spellEnd"/>
          </w:p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~92 млн абонентов</w:t>
            </w:r>
          </w:p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ESPN</w:t>
            </w:r>
          </w:p>
        </w:tc>
      </w:tr>
      <w:tr w:rsidR="00F53A57" w:rsidTr="009367D5">
        <w:trPr>
          <w:trHeight w:val="95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Кино и сериалы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10"/>
            </w:pPr>
            <w:r>
              <w:rPr>
                <w:rFonts w:ascii="Arial" w:eastAsia="Arial" w:hAnsi="Arial" w:cs="Arial"/>
                <w:sz w:val="23"/>
              </w:rPr>
              <w:t>$44 млрд (</w:t>
            </w:r>
            <w:proofErr w:type="spellStart"/>
            <w:r>
              <w:rPr>
                <w:rFonts w:ascii="Arial" w:eastAsia="Arial" w:hAnsi="Arial" w:cs="Arial"/>
                <w:sz w:val="23"/>
              </w:rPr>
              <w:t>Netflix</w:t>
            </w:r>
            <w:proofErr w:type="spellEnd"/>
            <w:r>
              <w:rPr>
                <w:rFonts w:ascii="Arial" w:eastAsia="Arial" w:hAnsi="Arial" w:cs="Arial"/>
                <w:sz w:val="23"/>
              </w:rPr>
              <w:t>)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 xml:space="preserve">450 млн абонентов </w:t>
            </w:r>
            <w:proofErr w:type="spellStart"/>
            <w:r>
              <w:rPr>
                <w:rFonts w:ascii="Arial" w:eastAsia="Arial" w:hAnsi="Arial" w:cs="Arial"/>
                <w:sz w:val="23"/>
              </w:rPr>
              <w:t>Netflix</w:t>
            </w:r>
            <w:proofErr w:type="spellEnd"/>
          </w:p>
        </w:tc>
      </w:tr>
      <w:tr w:rsidR="00F53A57" w:rsidTr="009367D5">
        <w:trPr>
          <w:trHeight w:val="281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Продажи (маркетинг)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10"/>
              <w:jc w:val="both"/>
            </w:pPr>
            <w:r>
              <w:rPr>
                <w:rFonts w:ascii="Arial" w:eastAsia="Arial" w:hAnsi="Arial" w:cs="Arial"/>
                <w:sz w:val="23"/>
              </w:rPr>
              <w:t>$3 млрд от продажи ПО</w:t>
            </w:r>
          </w:p>
          <w:p w:rsidR="00F53A57" w:rsidRDefault="00F53A57" w:rsidP="00A22BAE">
            <w:pPr>
              <w:ind w:left="10" w:right="3"/>
            </w:pPr>
            <w:r>
              <w:rPr>
                <w:rFonts w:ascii="Arial" w:eastAsia="Arial" w:hAnsi="Arial" w:cs="Arial"/>
                <w:sz w:val="23"/>
              </w:rPr>
              <w:t>$1.5 трлн – общий уровень продаж на электронном</w:t>
            </w:r>
          </w:p>
          <w:p w:rsidR="00F53A57" w:rsidRDefault="00F53A57" w:rsidP="00A22BAE">
            <w:pPr>
              <w:ind w:left="10"/>
            </w:pPr>
            <w:r>
              <w:rPr>
                <w:rFonts w:ascii="Arial" w:eastAsia="Arial" w:hAnsi="Arial" w:cs="Arial"/>
                <w:sz w:val="23"/>
              </w:rPr>
              <w:t>рынке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1+ млрд онлайн покупателей</w:t>
            </w:r>
          </w:p>
        </w:tc>
      </w:tr>
      <w:tr w:rsidR="00F53A57" w:rsidTr="009367D5">
        <w:trPr>
          <w:trHeight w:val="235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Образование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10"/>
            </w:pPr>
            <w:r>
              <w:rPr>
                <w:rFonts w:ascii="Arial" w:eastAsia="Arial" w:hAnsi="Arial" w:cs="Arial"/>
                <w:sz w:val="23"/>
              </w:rPr>
              <w:t>$12 млрд – общий уровень продаж ПО для высшего и среднего образования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~200 млн учеников и студентов</w:t>
            </w:r>
          </w:p>
        </w:tc>
      </w:tr>
      <w:tr w:rsidR="00F53A57" w:rsidTr="009367D5">
        <w:trPr>
          <w:trHeight w:val="235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  <w:jc w:val="both"/>
            </w:pPr>
            <w:r>
              <w:rPr>
                <w:rFonts w:ascii="Arial" w:eastAsia="Arial" w:hAnsi="Arial" w:cs="Arial"/>
                <w:sz w:val="23"/>
              </w:rPr>
              <w:t>Здравоохранение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10" w:right="261"/>
              <w:jc w:val="both"/>
            </w:pPr>
            <w:r>
              <w:rPr>
                <w:rFonts w:ascii="Arial" w:eastAsia="Arial" w:hAnsi="Arial" w:cs="Arial"/>
                <w:sz w:val="23"/>
              </w:rPr>
              <w:t>$16 млрд – уровень продаж на рынке медицинских устройств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~8 млн докторов</w:t>
            </w:r>
          </w:p>
        </w:tc>
      </w:tr>
      <w:tr w:rsidR="00F53A57" w:rsidTr="009367D5">
        <w:trPr>
          <w:trHeight w:val="95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Проектирование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10"/>
            </w:pPr>
            <w:r>
              <w:rPr>
                <w:rFonts w:ascii="Arial" w:eastAsia="Arial" w:hAnsi="Arial" w:cs="Arial"/>
                <w:sz w:val="23"/>
              </w:rPr>
              <w:t>$20 млрд – общий уровень продаж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~6 млн инженеров</w:t>
            </w:r>
          </w:p>
        </w:tc>
      </w:tr>
      <w:tr w:rsidR="00F53A57" w:rsidTr="009367D5">
        <w:trPr>
          <w:trHeight w:val="94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A57" w:rsidRDefault="00F53A57" w:rsidP="00A22BAE"/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10"/>
            </w:pPr>
            <w:r>
              <w:rPr>
                <w:rFonts w:ascii="Arial" w:eastAsia="Arial" w:hAnsi="Arial" w:cs="Arial"/>
                <w:sz w:val="23"/>
              </w:rPr>
              <w:t>ПО для проектирования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A57" w:rsidRDefault="00F53A57" w:rsidP="00A22BAE"/>
        </w:tc>
      </w:tr>
      <w:tr w:rsidR="00F53A57" w:rsidTr="009367D5">
        <w:trPr>
          <w:trHeight w:val="189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Военная промышленность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10" w:right="123"/>
              <w:jc w:val="both"/>
            </w:pPr>
            <w:r>
              <w:rPr>
                <w:rFonts w:ascii="Arial" w:eastAsia="Arial" w:hAnsi="Arial" w:cs="Arial"/>
                <w:sz w:val="23"/>
              </w:rPr>
              <w:t>$9 млрд – затраты на ПО для подготовки военнослужащих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~6.9 млн военнослужащих</w:t>
            </w:r>
          </w:p>
        </w:tc>
      </w:tr>
      <w:tr w:rsidR="00F53A57" w:rsidTr="009367D5">
        <w:trPr>
          <w:trHeight w:val="95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Общая сумма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A57" w:rsidRDefault="00F53A57" w:rsidP="00A22BAE"/>
        </w:tc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A57" w:rsidRDefault="00F53A57" w:rsidP="00A22BAE"/>
        </w:tc>
      </w:tr>
    </w:tbl>
    <w:p w:rsidR="00F53A57" w:rsidRDefault="00F53A57" w:rsidP="00F53A57">
      <w:pPr>
        <w:spacing w:after="327"/>
        <w:rPr>
          <w:rFonts w:ascii="Arial" w:eastAsia="Arial" w:hAnsi="Arial" w:cs="Arial"/>
          <w:b/>
          <w:sz w:val="15"/>
        </w:rPr>
      </w:pPr>
    </w:p>
    <w:p w:rsidR="00F53A57" w:rsidRDefault="00F53A57" w:rsidP="00F53A57">
      <w:pPr>
        <w:spacing w:after="327"/>
        <w:rPr>
          <w:rFonts w:ascii="Arial" w:eastAsia="Arial" w:hAnsi="Arial" w:cs="Arial"/>
          <w:b/>
          <w:sz w:val="15"/>
        </w:rPr>
      </w:pPr>
    </w:p>
    <w:p w:rsidR="00F53A57" w:rsidRDefault="00F53A57" w:rsidP="00F53A57">
      <w:pPr>
        <w:spacing w:after="327"/>
        <w:rPr>
          <w:rFonts w:ascii="Arial" w:eastAsia="Arial" w:hAnsi="Arial" w:cs="Arial"/>
          <w:b/>
          <w:sz w:val="15"/>
        </w:rPr>
      </w:pPr>
    </w:p>
    <w:p w:rsidR="00F53A57" w:rsidRDefault="00F53A57" w:rsidP="00F53A57">
      <w:pPr>
        <w:spacing w:after="327"/>
        <w:rPr>
          <w:rFonts w:ascii="Arial" w:eastAsia="Arial" w:hAnsi="Arial" w:cs="Arial"/>
          <w:b/>
          <w:sz w:val="15"/>
        </w:rPr>
      </w:pPr>
    </w:p>
    <w:p w:rsidR="009367D5" w:rsidRDefault="009367D5" w:rsidP="00F53A57">
      <w:pPr>
        <w:spacing w:after="327"/>
        <w:rPr>
          <w:rFonts w:ascii="Arial" w:eastAsia="Arial" w:hAnsi="Arial" w:cs="Arial"/>
          <w:b/>
          <w:sz w:val="15"/>
        </w:rPr>
      </w:pPr>
    </w:p>
    <w:p w:rsidR="009367D5" w:rsidRDefault="009367D5" w:rsidP="00F53A57">
      <w:pPr>
        <w:spacing w:after="327"/>
        <w:rPr>
          <w:rFonts w:ascii="Arial" w:eastAsia="Arial" w:hAnsi="Arial" w:cs="Arial"/>
          <w:b/>
          <w:sz w:val="15"/>
        </w:rPr>
      </w:pPr>
    </w:p>
    <w:p w:rsidR="009367D5" w:rsidRDefault="009367D5" w:rsidP="00F53A57">
      <w:pPr>
        <w:spacing w:after="327"/>
        <w:rPr>
          <w:rFonts w:ascii="Arial" w:eastAsia="Arial" w:hAnsi="Arial" w:cs="Arial"/>
          <w:b/>
          <w:sz w:val="15"/>
        </w:rPr>
      </w:pPr>
    </w:p>
    <w:p w:rsidR="009367D5" w:rsidRDefault="009367D5" w:rsidP="00F53A57">
      <w:pPr>
        <w:spacing w:after="327"/>
        <w:rPr>
          <w:rFonts w:ascii="Arial" w:eastAsia="Arial" w:hAnsi="Arial" w:cs="Arial"/>
          <w:b/>
          <w:sz w:val="15"/>
        </w:rPr>
      </w:pPr>
    </w:p>
    <w:p w:rsidR="009367D5" w:rsidRDefault="009367D5" w:rsidP="00F53A57">
      <w:pPr>
        <w:spacing w:after="327"/>
        <w:rPr>
          <w:rFonts w:ascii="Arial" w:eastAsia="Arial" w:hAnsi="Arial" w:cs="Arial"/>
          <w:b/>
          <w:sz w:val="15"/>
        </w:rPr>
      </w:pPr>
    </w:p>
    <w:p w:rsidR="009367D5" w:rsidRDefault="009367D5" w:rsidP="00F53A57">
      <w:pPr>
        <w:spacing w:after="327"/>
        <w:rPr>
          <w:rFonts w:ascii="Arial" w:eastAsia="Arial" w:hAnsi="Arial" w:cs="Arial"/>
          <w:b/>
          <w:sz w:val="15"/>
        </w:rPr>
      </w:pPr>
    </w:p>
    <w:p w:rsidR="009367D5" w:rsidRDefault="009367D5" w:rsidP="00F53A57">
      <w:pPr>
        <w:spacing w:after="327"/>
        <w:rPr>
          <w:rFonts w:ascii="Arial" w:eastAsia="Arial" w:hAnsi="Arial" w:cs="Arial"/>
          <w:b/>
          <w:sz w:val="15"/>
        </w:rPr>
      </w:pPr>
    </w:p>
    <w:p w:rsidR="00F53A57" w:rsidRDefault="00F53A57" w:rsidP="00F53A57">
      <w:pPr>
        <w:spacing w:after="327"/>
        <w:rPr>
          <w:rFonts w:ascii="Arial" w:eastAsia="Arial" w:hAnsi="Arial" w:cs="Arial"/>
          <w:b/>
          <w:sz w:val="15"/>
        </w:rPr>
      </w:pPr>
    </w:p>
    <w:tbl>
      <w:tblPr>
        <w:tblStyle w:val="TableGrid"/>
        <w:tblW w:w="8540" w:type="dxa"/>
        <w:tblInd w:w="5" w:type="dxa"/>
        <w:tblCellMar>
          <w:left w:w="101" w:type="dxa"/>
          <w:right w:w="97" w:type="dxa"/>
        </w:tblCellMar>
        <w:tblLook w:val="04A0" w:firstRow="1" w:lastRow="0" w:firstColumn="1" w:lastColumn="0" w:noHBand="0" w:noVBand="1"/>
      </w:tblPr>
      <w:tblGrid>
        <w:gridCol w:w="2120"/>
        <w:gridCol w:w="1932"/>
        <w:gridCol w:w="1278"/>
        <w:gridCol w:w="1939"/>
        <w:gridCol w:w="1271"/>
      </w:tblGrid>
      <w:tr w:rsidR="009367D5" w:rsidTr="009367D5">
        <w:trPr>
          <w:trHeight w:val="267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F53A57">
            <w:pPr>
              <w:ind w:left="5"/>
            </w:pPr>
          </w:p>
        </w:tc>
        <w:tc>
          <w:tcPr>
            <w:tcW w:w="3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F53A57">
            <w:r>
              <w:rPr>
                <w:rFonts w:ascii="Arial" w:eastAsia="Arial" w:hAnsi="Arial" w:cs="Arial"/>
                <w:sz w:val="23"/>
              </w:rPr>
              <w:t>Результаты к 2020 году</w:t>
            </w:r>
          </w:p>
        </w:tc>
        <w:tc>
          <w:tcPr>
            <w:tcW w:w="3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F53A57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Результаты к 2025 году</w:t>
            </w:r>
          </w:p>
        </w:tc>
      </w:tr>
      <w:tr w:rsidR="009367D5" w:rsidTr="009367D5">
        <w:trPr>
          <w:trHeight w:val="53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F53A57">
            <w:pPr>
              <w:ind w:left="5"/>
              <w:jc w:val="both"/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F53A57">
            <w:r>
              <w:rPr>
                <w:rFonts w:ascii="Arial" w:eastAsia="Arial" w:hAnsi="Arial" w:cs="Arial"/>
                <w:sz w:val="23"/>
              </w:rPr>
              <w:t>Число пользователей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F53A57">
            <w:pPr>
              <w:ind w:left="10"/>
            </w:pPr>
            <w:r>
              <w:rPr>
                <w:rFonts w:ascii="Arial" w:eastAsia="Arial" w:hAnsi="Arial" w:cs="Arial"/>
                <w:sz w:val="23"/>
              </w:rPr>
              <w:t>Прибыль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F53A57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Число пользователей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F53A57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Прибыль</w:t>
            </w:r>
          </w:p>
        </w:tc>
      </w:tr>
      <w:tr w:rsidR="009367D5" w:rsidTr="009367D5">
        <w:trPr>
          <w:trHeight w:val="44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Видеоигры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r>
              <w:rPr>
                <w:rFonts w:ascii="Arial" w:eastAsia="Arial" w:hAnsi="Arial" w:cs="Arial"/>
                <w:sz w:val="23"/>
              </w:rPr>
              <w:t>70 млн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10" w:right="34"/>
            </w:pPr>
            <w:r>
              <w:rPr>
                <w:rFonts w:ascii="Arial" w:eastAsia="Arial" w:hAnsi="Arial" w:cs="Arial"/>
                <w:sz w:val="23"/>
              </w:rPr>
              <w:t>$6.9 млрд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216 млн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$11.6 млрд</w:t>
            </w:r>
          </w:p>
        </w:tc>
      </w:tr>
      <w:tr w:rsidR="009367D5" w:rsidTr="009367D5">
        <w:trPr>
          <w:trHeight w:val="355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  <w:jc w:val="both"/>
            </w:pPr>
            <w:r>
              <w:rPr>
                <w:rFonts w:ascii="Arial" w:eastAsia="Arial" w:hAnsi="Arial" w:cs="Arial"/>
                <w:sz w:val="23"/>
              </w:rPr>
              <w:t>Мероприятия в прямом эфире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r>
              <w:rPr>
                <w:rFonts w:ascii="Arial" w:eastAsia="Arial" w:hAnsi="Arial" w:cs="Arial"/>
                <w:sz w:val="23"/>
              </w:rPr>
              <w:t>28 млн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10" w:right="34"/>
            </w:pPr>
            <w:r>
              <w:rPr>
                <w:rFonts w:ascii="Arial" w:eastAsia="Arial" w:hAnsi="Arial" w:cs="Arial"/>
                <w:sz w:val="23"/>
              </w:rPr>
              <w:t>$0.8 млрд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95 млн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 w:right="28"/>
            </w:pPr>
            <w:r>
              <w:rPr>
                <w:rFonts w:ascii="Arial" w:eastAsia="Arial" w:hAnsi="Arial" w:cs="Arial"/>
                <w:sz w:val="23"/>
              </w:rPr>
              <w:t>$4.1 млрд</w:t>
            </w:r>
          </w:p>
        </w:tc>
      </w:tr>
      <w:tr w:rsidR="009367D5" w:rsidTr="009367D5">
        <w:trPr>
          <w:trHeight w:val="337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Кино и сериалы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r>
              <w:rPr>
                <w:rFonts w:ascii="Arial" w:eastAsia="Arial" w:hAnsi="Arial" w:cs="Arial"/>
                <w:sz w:val="23"/>
              </w:rPr>
              <w:t>24 млн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10" w:right="34"/>
            </w:pPr>
            <w:r>
              <w:rPr>
                <w:rFonts w:ascii="Arial" w:eastAsia="Arial" w:hAnsi="Arial" w:cs="Arial"/>
                <w:sz w:val="23"/>
              </w:rPr>
              <w:t>$0.8 млрд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79 млн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 w:right="23"/>
            </w:pPr>
            <w:r>
              <w:rPr>
                <w:rFonts w:ascii="Arial" w:eastAsia="Arial" w:hAnsi="Arial" w:cs="Arial"/>
                <w:sz w:val="23"/>
              </w:rPr>
              <w:t>$3.2 млрд</w:t>
            </w:r>
          </w:p>
        </w:tc>
      </w:tr>
      <w:tr w:rsidR="009367D5" w:rsidTr="009367D5">
        <w:trPr>
          <w:trHeight w:val="27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Продажи (маркетинг)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r>
              <w:rPr>
                <w:rFonts w:ascii="Arial" w:eastAsia="Arial" w:hAnsi="Arial" w:cs="Arial"/>
                <w:sz w:val="23"/>
              </w:rPr>
              <w:t>9.5 млн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10" w:right="34"/>
            </w:pPr>
            <w:r>
              <w:rPr>
                <w:rFonts w:ascii="Arial" w:eastAsia="Arial" w:hAnsi="Arial" w:cs="Arial"/>
                <w:sz w:val="23"/>
              </w:rPr>
              <w:t>$0.5 млрд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31.5 млн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 w:right="28"/>
            </w:pPr>
            <w:r>
              <w:rPr>
                <w:rFonts w:ascii="Arial" w:eastAsia="Arial" w:hAnsi="Arial" w:cs="Arial"/>
                <w:sz w:val="23"/>
              </w:rPr>
              <w:t>$1.6 млрд</w:t>
            </w:r>
          </w:p>
        </w:tc>
      </w:tr>
      <w:tr w:rsidR="009367D5" w:rsidTr="009367D5">
        <w:trPr>
          <w:trHeight w:val="27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Образование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r>
              <w:rPr>
                <w:rFonts w:ascii="Arial" w:eastAsia="Arial" w:hAnsi="Arial" w:cs="Arial"/>
                <w:sz w:val="23"/>
              </w:rPr>
              <w:t>7 млн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10" w:right="34"/>
            </w:pPr>
            <w:r>
              <w:rPr>
                <w:rFonts w:ascii="Arial" w:eastAsia="Arial" w:hAnsi="Arial" w:cs="Arial"/>
                <w:sz w:val="23"/>
              </w:rPr>
              <w:t>$0.3 млрд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15 млн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 w:right="28"/>
            </w:pPr>
            <w:r>
              <w:rPr>
                <w:rFonts w:ascii="Arial" w:eastAsia="Arial" w:hAnsi="Arial" w:cs="Arial"/>
                <w:sz w:val="23"/>
              </w:rPr>
              <w:t>$0.7 млрд</w:t>
            </w:r>
          </w:p>
        </w:tc>
      </w:tr>
      <w:tr w:rsidR="009367D5" w:rsidTr="008E1E43">
        <w:trPr>
          <w:trHeight w:val="407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  <w:jc w:val="both"/>
            </w:pPr>
            <w:r>
              <w:rPr>
                <w:rFonts w:ascii="Arial" w:eastAsia="Arial" w:hAnsi="Arial" w:cs="Arial"/>
                <w:sz w:val="23"/>
              </w:rPr>
              <w:t>Здравоохранение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r>
              <w:rPr>
                <w:rFonts w:ascii="Arial" w:eastAsia="Arial" w:hAnsi="Arial" w:cs="Arial"/>
                <w:sz w:val="23"/>
              </w:rPr>
              <w:t>0.8 млн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10" w:right="39"/>
            </w:pPr>
            <w:r>
              <w:rPr>
                <w:rFonts w:ascii="Arial" w:eastAsia="Arial" w:hAnsi="Arial" w:cs="Arial"/>
                <w:sz w:val="23"/>
              </w:rPr>
              <w:t>$1.2 млрд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3.4 млн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 w:right="28"/>
            </w:pPr>
            <w:r>
              <w:rPr>
                <w:rFonts w:ascii="Arial" w:eastAsia="Arial" w:hAnsi="Arial" w:cs="Arial"/>
                <w:sz w:val="23"/>
              </w:rPr>
              <w:t>$5.1 млрд</w:t>
            </w:r>
          </w:p>
        </w:tc>
      </w:tr>
      <w:tr w:rsidR="009367D5" w:rsidTr="009367D5">
        <w:trPr>
          <w:trHeight w:val="41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Проектирование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r>
              <w:rPr>
                <w:rFonts w:ascii="Arial" w:eastAsia="Arial" w:hAnsi="Arial" w:cs="Arial"/>
                <w:sz w:val="23"/>
              </w:rPr>
              <w:t>1 млн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10" w:right="39"/>
            </w:pPr>
            <w:r>
              <w:rPr>
                <w:rFonts w:ascii="Arial" w:eastAsia="Arial" w:hAnsi="Arial" w:cs="Arial"/>
                <w:sz w:val="23"/>
              </w:rPr>
              <w:t>$1.5 млрд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3.2 млн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 w:right="28"/>
            </w:pPr>
            <w:r>
              <w:rPr>
                <w:rFonts w:ascii="Arial" w:eastAsia="Arial" w:hAnsi="Arial" w:cs="Arial"/>
                <w:sz w:val="23"/>
              </w:rPr>
              <w:t>$4.7 млрд</w:t>
            </w:r>
          </w:p>
        </w:tc>
      </w:tr>
      <w:tr w:rsidR="009367D5" w:rsidTr="009367D5">
        <w:trPr>
          <w:trHeight w:val="41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Военная промышленность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r>
              <w:rPr>
                <w:rFonts w:ascii="Arial" w:eastAsia="Arial" w:hAnsi="Arial" w:cs="Arial"/>
                <w:sz w:val="23"/>
              </w:rPr>
              <w:t>Зависит от закупок оборудования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10" w:right="6"/>
            </w:pPr>
            <w:r>
              <w:rPr>
                <w:rFonts w:ascii="Arial" w:eastAsia="Arial" w:hAnsi="Arial" w:cs="Arial"/>
                <w:sz w:val="23"/>
              </w:rPr>
              <w:t>$0.5 млрд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Зависит от закупок оборудования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$1.4 млрд</w:t>
            </w:r>
          </w:p>
        </w:tc>
      </w:tr>
      <w:tr w:rsidR="009367D5" w:rsidTr="009367D5">
        <w:trPr>
          <w:trHeight w:val="41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Общая сумма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r>
              <w:rPr>
                <w:rFonts w:ascii="Arial" w:eastAsia="Arial" w:hAnsi="Arial" w:cs="Arial"/>
                <w:sz w:val="23"/>
              </w:rPr>
              <w:t>95 млн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10"/>
            </w:pPr>
            <w:r>
              <w:rPr>
                <w:rFonts w:ascii="Arial" w:eastAsia="Arial" w:hAnsi="Arial" w:cs="Arial"/>
                <w:sz w:val="23"/>
              </w:rPr>
              <w:t>$13.1 млрд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</w:pPr>
            <w:r>
              <w:rPr>
                <w:rFonts w:ascii="Arial" w:eastAsia="Arial" w:hAnsi="Arial" w:cs="Arial"/>
                <w:sz w:val="23"/>
              </w:rPr>
              <w:t>315 млн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D5" w:rsidRDefault="009367D5" w:rsidP="009367D5">
            <w:pPr>
              <w:ind w:left="5"/>
              <w:jc w:val="both"/>
            </w:pPr>
            <w:r>
              <w:rPr>
                <w:rFonts w:ascii="Arial" w:eastAsia="Arial" w:hAnsi="Arial" w:cs="Arial"/>
                <w:sz w:val="23"/>
              </w:rPr>
              <w:t>$35 млрд</w:t>
            </w:r>
          </w:p>
        </w:tc>
      </w:tr>
    </w:tbl>
    <w:p w:rsidR="00F53A57" w:rsidRDefault="00F53A57" w:rsidP="00F53A57">
      <w:pPr>
        <w:spacing w:after="327"/>
      </w:pPr>
      <w:r>
        <w:rPr>
          <w:rFonts w:ascii="Arial" w:eastAsia="Arial" w:hAnsi="Arial" w:cs="Arial"/>
          <w:b/>
          <w:sz w:val="15"/>
        </w:rPr>
        <w:t>Источник: Отчет «</w:t>
      </w:r>
      <w:proofErr w:type="spellStart"/>
      <w:r>
        <w:rPr>
          <w:rFonts w:ascii="Arial" w:eastAsia="Arial" w:hAnsi="Arial" w:cs="Arial"/>
          <w:b/>
          <w:sz w:val="15"/>
        </w:rPr>
        <w:t>Virtual</w:t>
      </w:r>
      <w:proofErr w:type="spellEnd"/>
      <w:r>
        <w:rPr>
          <w:rFonts w:ascii="Arial" w:eastAsia="Arial" w:hAnsi="Arial" w:cs="Arial"/>
          <w:b/>
          <w:sz w:val="15"/>
        </w:rPr>
        <w:t xml:space="preserve"> </w:t>
      </w:r>
      <w:proofErr w:type="spellStart"/>
      <w:r>
        <w:rPr>
          <w:rFonts w:ascii="Arial" w:eastAsia="Arial" w:hAnsi="Arial" w:cs="Arial"/>
          <w:b/>
          <w:sz w:val="15"/>
        </w:rPr>
        <w:t>Reality</w:t>
      </w:r>
      <w:proofErr w:type="spellEnd"/>
      <w:r>
        <w:rPr>
          <w:rFonts w:ascii="Arial" w:eastAsia="Arial" w:hAnsi="Arial" w:cs="Arial"/>
          <w:b/>
          <w:sz w:val="15"/>
        </w:rPr>
        <w:t xml:space="preserve"> – </w:t>
      </w:r>
      <w:proofErr w:type="spellStart"/>
      <w:r>
        <w:rPr>
          <w:rFonts w:ascii="Arial" w:eastAsia="Arial" w:hAnsi="Arial" w:cs="Arial"/>
          <w:b/>
          <w:sz w:val="15"/>
        </w:rPr>
        <w:t>Global</w:t>
      </w:r>
      <w:proofErr w:type="spellEnd"/>
      <w:r>
        <w:rPr>
          <w:rFonts w:ascii="Arial" w:eastAsia="Arial" w:hAnsi="Arial" w:cs="Arial"/>
          <w:b/>
          <w:sz w:val="15"/>
        </w:rPr>
        <w:t xml:space="preserve">» </w:t>
      </w:r>
      <w:proofErr w:type="spellStart"/>
      <w:r>
        <w:rPr>
          <w:rFonts w:ascii="Arial" w:eastAsia="Arial" w:hAnsi="Arial" w:cs="Arial"/>
          <w:b/>
          <w:sz w:val="15"/>
        </w:rPr>
        <w:t>подготовленныeй</w:t>
      </w:r>
      <w:proofErr w:type="spellEnd"/>
      <w:r>
        <w:rPr>
          <w:rFonts w:ascii="Arial" w:eastAsia="Arial" w:hAnsi="Arial" w:cs="Arial"/>
          <w:b/>
          <w:sz w:val="15"/>
        </w:rPr>
        <w:t xml:space="preserve"> </w:t>
      </w:r>
      <w:proofErr w:type="spellStart"/>
      <w:r>
        <w:rPr>
          <w:rFonts w:ascii="Arial" w:eastAsia="Arial" w:hAnsi="Arial" w:cs="Arial"/>
          <w:b/>
          <w:sz w:val="15"/>
        </w:rPr>
        <w:t>Stellar</w:t>
      </w:r>
      <w:proofErr w:type="spellEnd"/>
      <w:r>
        <w:rPr>
          <w:rFonts w:ascii="Arial" w:eastAsia="Arial" w:hAnsi="Arial" w:cs="Arial"/>
          <w:b/>
          <w:sz w:val="15"/>
        </w:rPr>
        <w:t xml:space="preserve"> </w:t>
      </w:r>
      <w:proofErr w:type="spellStart"/>
      <w:r>
        <w:rPr>
          <w:rFonts w:ascii="Arial" w:eastAsia="Arial" w:hAnsi="Arial" w:cs="Arial"/>
          <w:b/>
          <w:sz w:val="15"/>
        </w:rPr>
        <w:t>Analytics</w:t>
      </w:r>
      <w:proofErr w:type="spellEnd"/>
      <w:r>
        <w:rPr>
          <w:rFonts w:ascii="Arial" w:eastAsia="Arial" w:hAnsi="Arial" w:cs="Arial"/>
          <w:b/>
          <w:sz w:val="15"/>
        </w:rPr>
        <w:t xml:space="preserve"> 5 июня 2016 года</w:t>
      </w:r>
    </w:p>
    <w:p w:rsidR="00F53A57" w:rsidRDefault="00F53A57" w:rsidP="00F53A57">
      <w:pPr>
        <w:pStyle w:val="1"/>
        <w:numPr>
          <w:ilvl w:val="0"/>
          <w:numId w:val="0"/>
        </w:numPr>
        <w:ind w:left="-5"/>
      </w:pPr>
      <w:r>
        <w:t>Основная проблема развития</w:t>
      </w:r>
    </w:p>
    <w:p w:rsidR="00F53A57" w:rsidRDefault="00F53A57" w:rsidP="00F53A57">
      <w:pPr>
        <w:spacing w:after="263" w:line="248" w:lineRule="auto"/>
        <w:ind w:left="-5" w:hanging="10"/>
      </w:pPr>
      <w:r>
        <w:rPr>
          <w:rFonts w:ascii="Arial" w:eastAsia="Arial" w:hAnsi="Arial" w:cs="Arial"/>
          <w:sz w:val="23"/>
        </w:rPr>
        <w:t>Отсутствие у разработчиков необходимых инструментов и клиентской базы. Пользователи, в свою очередь, не до конца доверяют разработчикам программного обеспечения д</w:t>
      </w:r>
      <w:bookmarkStart w:id="0" w:name="_GoBack"/>
      <w:bookmarkEnd w:id="0"/>
      <w:r>
        <w:rPr>
          <w:rFonts w:ascii="Arial" w:eastAsia="Arial" w:hAnsi="Arial" w:cs="Arial"/>
          <w:sz w:val="23"/>
        </w:rPr>
        <w:t>ля виртуальной реальности из-за того, что нет громких проектов.</w:t>
      </w:r>
    </w:p>
    <w:p w:rsidR="00F53A57" w:rsidRDefault="00F53A57" w:rsidP="00F53A57">
      <w:pPr>
        <w:pStyle w:val="1"/>
        <w:numPr>
          <w:ilvl w:val="0"/>
          <w:numId w:val="0"/>
        </w:numPr>
        <w:spacing w:after="156"/>
        <w:ind w:left="-5"/>
      </w:pPr>
      <w:r>
        <w:t>1/ Видеоигры</w:t>
      </w:r>
    </w:p>
    <w:p w:rsidR="00F53A57" w:rsidRDefault="00F53A57" w:rsidP="00F53A57">
      <w:pPr>
        <w:spacing w:after="173" w:line="248" w:lineRule="auto"/>
        <w:ind w:left="-5" w:hanging="10"/>
      </w:pPr>
      <w:r>
        <w:rPr>
          <w:rFonts w:ascii="Arial" w:eastAsia="Arial" w:hAnsi="Arial" w:cs="Arial"/>
          <w:b/>
          <w:sz w:val="23"/>
        </w:rPr>
        <w:t>Пользователи</w:t>
      </w:r>
      <w:r>
        <w:rPr>
          <w:rFonts w:ascii="Arial" w:eastAsia="Arial" w:hAnsi="Arial" w:cs="Arial"/>
          <w:sz w:val="23"/>
        </w:rPr>
        <w:t xml:space="preserve">. Согласно данным </w:t>
      </w:r>
      <w:proofErr w:type="spellStart"/>
      <w:r>
        <w:rPr>
          <w:rFonts w:ascii="Arial" w:eastAsia="Arial" w:hAnsi="Arial" w:cs="Arial"/>
          <w:sz w:val="23"/>
        </w:rPr>
        <w:t>Goldman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Sachs</w:t>
      </w:r>
      <w:proofErr w:type="spellEnd"/>
      <w:r>
        <w:rPr>
          <w:rFonts w:ascii="Arial" w:eastAsia="Arial" w:hAnsi="Arial" w:cs="Arial"/>
          <w:sz w:val="23"/>
        </w:rPr>
        <w:t xml:space="preserve">, в мире примерно 230 млн консолей и 150 млн игроков на ПК. Специалисты уверены, что виртуальную реальность будут использовать в основном геймеры, которые проводят за играми более 15 часов в неделю, — это 30% владельцев игровых приставок. Продажи </w:t>
      </w:r>
      <w:proofErr w:type="spellStart"/>
      <w:r>
        <w:rPr>
          <w:rFonts w:ascii="Arial" w:eastAsia="Arial" w:hAnsi="Arial" w:cs="Arial"/>
          <w:sz w:val="23"/>
        </w:rPr>
        <w:t>Oculus</w:t>
      </w:r>
      <w:proofErr w:type="spellEnd"/>
      <w:r>
        <w:rPr>
          <w:rFonts w:ascii="Arial" w:eastAsia="Arial" w:hAnsi="Arial" w:cs="Arial"/>
          <w:sz w:val="23"/>
        </w:rPr>
        <w:t xml:space="preserve"> (по мнению большинства специалистов, самым популярным устройством виртуальной реальности для ПК станет </w:t>
      </w:r>
      <w:proofErr w:type="spellStart"/>
      <w:r>
        <w:rPr>
          <w:rFonts w:ascii="Arial" w:eastAsia="Arial" w:hAnsi="Arial" w:cs="Arial"/>
          <w:sz w:val="23"/>
        </w:rPr>
        <w:t>Oculus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Rift</w:t>
      </w:r>
      <w:proofErr w:type="spellEnd"/>
      <w:r>
        <w:rPr>
          <w:rFonts w:ascii="Arial" w:eastAsia="Arial" w:hAnsi="Arial" w:cs="Arial"/>
          <w:sz w:val="23"/>
        </w:rPr>
        <w:t>) будут нацелены на рынок развитых стран (150 млн пользователей), поскольку использование этого девайса подразумевает наличие мощного игрового компьютера.</w:t>
      </w:r>
    </w:p>
    <w:p w:rsidR="00F53A57" w:rsidRDefault="00F53A57" w:rsidP="00F53A57">
      <w:pPr>
        <w:spacing w:after="263" w:line="248" w:lineRule="auto"/>
        <w:ind w:left="-5" w:hanging="10"/>
      </w:pPr>
      <w:r>
        <w:rPr>
          <w:rFonts w:ascii="Arial" w:eastAsia="Arial" w:hAnsi="Arial" w:cs="Arial"/>
          <w:b/>
          <w:sz w:val="23"/>
        </w:rPr>
        <w:t>Трудности.</w:t>
      </w:r>
      <w:r>
        <w:rPr>
          <w:rFonts w:ascii="Arial" w:eastAsia="Arial" w:hAnsi="Arial" w:cs="Arial"/>
          <w:sz w:val="23"/>
        </w:rPr>
        <w:t xml:space="preserve"> Высокая стоимость создания новых игровых серий. Такие крупнейшие разработчики, как EA </w:t>
      </w:r>
      <w:proofErr w:type="spellStart"/>
      <w:r>
        <w:rPr>
          <w:rFonts w:ascii="Arial" w:eastAsia="Arial" w:hAnsi="Arial" w:cs="Arial"/>
          <w:sz w:val="23"/>
        </w:rPr>
        <w:t>Sports</w:t>
      </w:r>
      <w:proofErr w:type="spellEnd"/>
      <w:r>
        <w:rPr>
          <w:rFonts w:ascii="Arial" w:eastAsia="Arial" w:hAnsi="Arial" w:cs="Arial"/>
          <w:sz w:val="23"/>
        </w:rPr>
        <w:t xml:space="preserve"> и </w:t>
      </w:r>
      <w:proofErr w:type="spellStart"/>
      <w:r>
        <w:rPr>
          <w:rFonts w:ascii="Arial" w:eastAsia="Arial" w:hAnsi="Arial" w:cs="Arial"/>
          <w:sz w:val="23"/>
        </w:rPr>
        <w:t>Activision</w:t>
      </w:r>
      <w:proofErr w:type="spellEnd"/>
      <w:r>
        <w:rPr>
          <w:rFonts w:ascii="Arial" w:eastAsia="Arial" w:hAnsi="Arial" w:cs="Arial"/>
          <w:sz w:val="23"/>
        </w:rPr>
        <w:t>, заявили, что на создание новой игровой серии для виртуальной реальности нужно будет потратить от $75 млн до $100 млн, — в то время как разработка игры из уже готовой серии обходится примерно в $10 млн.</w:t>
      </w:r>
    </w:p>
    <w:p w:rsidR="00F53A57" w:rsidRDefault="00F53A57" w:rsidP="00F53A57">
      <w:pPr>
        <w:spacing w:after="263" w:line="248" w:lineRule="auto"/>
        <w:ind w:left="-5" w:hanging="10"/>
      </w:pPr>
      <w:r>
        <w:rPr>
          <w:rFonts w:ascii="Arial" w:eastAsia="Arial" w:hAnsi="Arial" w:cs="Arial"/>
          <w:b/>
          <w:sz w:val="23"/>
        </w:rPr>
        <w:t>Возможная прибыль.</w:t>
      </w:r>
      <w:r>
        <w:rPr>
          <w:rFonts w:ascii="Arial" w:eastAsia="Arial" w:hAnsi="Arial" w:cs="Arial"/>
          <w:sz w:val="23"/>
        </w:rPr>
        <w:t xml:space="preserve"> По подсчетам </w:t>
      </w:r>
      <w:proofErr w:type="spellStart"/>
      <w:r>
        <w:rPr>
          <w:rFonts w:ascii="Arial" w:eastAsia="Arial" w:hAnsi="Arial" w:cs="Arial"/>
          <w:sz w:val="23"/>
        </w:rPr>
        <w:t>Goldman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Sachs</w:t>
      </w:r>
      <w:proofErr w:type="spellEnd"/>
      <w:r>
        <w:rPr>
          <w:rFonts w:ascii="Arial" w:eastAsia="Arial" w:hAnsi="Arial" w:cs="Arial"/>
          <w:sz w:val="23"/>
        </w:rPr>
        <w:t>, рынок видеоигр для проектов VR принесет прибыль в размере $6,9 млрд в 2020 году и $11,6 млрд — в 2025 году:</w:t>
      </w:r>
    </w:p>
    <w:p w:rsidR="00F53A57" w:rsidRDefault="00F53A57" w:rsidP="00F53A57">
      <w:pPr>
        <w:numPr>
          <w:ilvl w:val="0"/>
          <w:numId w:val="1"/>
        </w:numPr>
        <w:spacing w:after="0" w:line="248" w:lineRule="auto"/>
        <w:ind w:left="700" w:hanging="350"/>
      </w:pPr>
      <w:r>
        <w:rPr>
          <w:rFonts w:ascii="Arial" w:eastAsia="Arial" w:hAnsi="Arial" w:cs="Arial"/>
          <w:sz w:val="23"/>
        </w:rPr>
        <w:t>К 2020 году в мире появится 70 млн геймеров, использующих технологии виртуальной реальности. К 2025 году их число вырастет до 216 млн.</w:t>
      </w:r>
    </w:p>
    <w:p w:rsidR="00F53A57" w:rsidRDefault="00F53A57" w:rsidP="00F53A57">
      <w:pPr>
        <w:numPr>
          <w:ilvl w:val="0"/>
          <w:numId w:val="1"/>
        </w:numPr>
        <w:spacing w:after="0"/>
        <w:ind w:left="700" w:hanging="350"/>
      </w:pPr>
      <w:r>
        <w:rPr>
          <w:rFonts w:ascii="Arial" w:eastAsia="Arial" w:hAnsi="Arial" w:cs="Arial"/>
          <w:sz w:val="23"/>
        </w:rPr>
        <w:t>Согласно подсчетам, пользователи будут покупать в среднем 2,5 игры (после же это число снизится до одной).</w:t>
      </w:r>
    </w:p>
    <w:p w:rsidR="00F53A57" w:rsidRDefault="00F53A57" w:rsidP="00F53A57">
      <w:pPr>
        <w:numPr>
          <w:ilvl w:val="0"/>
          <w:numId w:val="1"/>
        </w:numPr>
        <w:spacing w:after="263" w:line="248" w:lineRule="auto"/>
        <w:ind w:left="700" w:hanging="350"/>
      </w:pPr>
      <w:r>
        <w:rPr>
          <w:rFonts w:ascii="Arial" w:eastAsia="Arial" w:hAnsi="Arial" w:cs="Arial"/>
          <w:sz w:val="23"/>
        </w:rPr>
        <w:lastRenderedPageBreak/>
        <w:t>Цена игры для виртуальной реальности не должна превышать среднюю стоимость — $60.</w:t>
      </w:r>
    </w:p>
    <w:p w:rsidR="00F53A57" w:rsidRDefault="00F53A57" w:rsidP="00F53A57">
      <w:pPr>
        <w:spacing w:after="263" w:line="248" w:lineRule="auto"/>
        <w:ind w:left="-5" w:hanging="10"/>
      </w:pPr>
      <w:r>
        <w:rPr>
          <w:rFonts w:ascii="Arial" w:eastAsia="Arial" w:hAnsi="Arial" w:cs="Arial"/>
          <w:b/>
          <w:sz w:val="23"/>
        </w:rPr>
        <w:t>Проблема.</w:t>
      </w:r>
      <w:r>
        <w:rPr>
          <w:rFonts w:ascii="Arial" w:eastAsia="Arial" w:hAnsi="Arial" w:cs="Arial"/>
          <w:sz w:val="23"/>
        </w:rPr>
        <w:t xml:space="preserve"> На данный момент все известные шлемы виртуальной реальности (</w:t>
      </w:r>
      <w:proofErr w:type="spellStart"/>
      <w:r>
        <w:rPr>
          <w:rFonts w:ascii="Arial" w:eastAsia="Arial" w:hAnsi="Arial" w:cs="Arial"/>
          <w:sz w:val="23"/>
        </w:rPr>
        <w:t>Oculus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Rift</w:t>
      </w:r>
      <w:proofErr w:type="spellEnd"/>
      <w:r>
        <w:rPr>
          <w:rFonts w:ascii="Arial" w:eastAsia="Arial" w:hAnsi="Arial" w:cs="Arial"/>
          <w:sz w:val="23"/>
        </w:rPr>
        <w:t xml:space="preserve">, HTC </w:t>
      </w:r>
      <w:proofErr w:type="spellStart"/>
      <w:r>
        <w:rPr>
          <w:rFonts w:ascii="Arial" w:eastAsia="Arial" w:hAnsi="Arial" w:cs="Arial"/>
          <w:sz w:val="23"/>
        </w:rPr>
        <w:t>Vive</w:t>
      </w:r>
      <w:proofErr w:type="spellEnd"/>
      <w:r>
        <w:rPr>
          <w:rFonts w:ascii="Arial" w:eastAsia="Arial" w:hAnsi="Arial" w:cs="Arial"/>
          <w:sz w:val="23"/>
        </w:rPr>
        <w:t xml:space="preserve">, PSVR) требуют обязательного проводного подключения к игровому ПК или консоли. </w:t>
      </w:r>
      <w:proofErr w:type="spellStart"/>
      <w:r>
        <w:rPr>
          <w:rFonts w:ascii="Arial" w:eastAsia="Arial" w:hAnsi="Arial" w:cs="Arial"/>
          <w:sz w:val="23"/>
        </w:rPr>
        <w:t>Wi-Fi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Full</w:t>
      </w:r>
      <w:proofErr w:type="spellEnd"/>
      <w:r>
        <w:rPr>
          <w:rFonts w:ascii="Arial" w:eastAsia="Arial" w:hAnsi="Arial" w:cs="Arial"/>
          <w:sz w:val="23"/>
        </w:rPr>
        <w:t xml:space="preserve"> HD-трансмиттеры пока не способны передавать данные, которые требуются для полноценного погружения в виртуальную реальность. Пока что в мире нет бюджетных решений для отслеживания большого количества перемещений людей в пространстве.</w:t>
      </w:r>
    </w:p>
    <w:p w:rsidR="009A1201" w:rsidRDefault="009A1201"/>
    <w:sectPr w:rsidR="009A1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22278"/>
    <w:multiLevelType w:val="hybridMultilevel"/>
    <w:tmpl w:val="107CD406"/>
    <w:lvl w:ilvl="0" w:tplc="6ABE8C8E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0B66C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C6555E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EE2FC2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80611C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040280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B69E46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C2B2F4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E4BCD8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1E59B7"/>
    <w:multiLevelType w:val="hybridMultilevel"/>
    <w:tmpl w:val="007E33FA"/>
    <w:lvl w:ilvl="0" w:tplc="7D384B14">
      <w:start w:val="5"/>
      <w:numFmt w:val="decimal"/>
      <w:pStyle w:val="1"/>
      <w:lvlText w:val="%1)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5C0B7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32C80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F1EBF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47851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0CA83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46A39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76A77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97C63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57"/>
    <w:rsid w:val="009367D5"/>
    <w:rsid w:val="009A1201"/>
    <w:rsid w:val="00F53A57"/>
    <w:rsid w:val="00FE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8985"/>
  <w15:chartTrackingRefBased/>
  <w15:docId w15:val="{A0415A0A-7994-4C45-9D66-12E71159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A57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F53A57"/>
    <w:pPr>
      <w:keepNext/>
      <w:keepLines/>
      <w:numPr>
        <w:numId w:val="2"/>
      </w:numPr>
      <w:spacing w:after="248"/>
      <w:ind w:left="10" w:hanging="10"/>
      <w:outlineLvl w:val="0"/>
    </w:pPr>
    <w:rPr>
      <w:rFonts w:ascii="Arial" w:eastAsia="Arial" w:hAnsi="Arial" w:cs="Arial"/>
      <w:b/>
      <w:color w:val="000000"/>
      <w:sz w:val="2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3A57"/>
    <w:rPr>
      <w:rFonts w:ascii="Arial" w:eastAsia="Arial" w:hAnsi="Arial" w:cs="Arial"/>
      <w:b/>
      <w:color w:val="000000"/>
      <w:sz w:val="23"/>
      <w:lang w:eastAsia="ru-RU"/>
    </w:rPr>
  </w:style>
  <w:style w:type="table" w:customStyle="1" w:styleId="TableGrid">
    <w:name w:val="TableGrid"/>
    <w:rsid w:val="00F53A5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2</cp:revision>
  <dcterms:created xsi:type="dcterms:W3CDTF">2017-06-11T17:04:00Z</dcterms:created>
  <dcterms:modified xsi:type="dcterms:W3CDTF">2017-06-11T19:04:00Z</dcterms:modified>
</cp:coreProperties>
</file>