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8E" w:rsidRPr="000C548E" w:rsidRDefault="000C548E" w:rsidP="004512EC">
      <w:pPr>
        <w:rPr>
          <w:lang w:val="ru-RU"/>
        </w:rPr>
      </w:pPr>
      <w:bookmarkStart w:id="0" w:name="_GoBack"/>
      <w:bookmarkEnd w:id="0"/>
      <w:proofErr w:type="spellStart"/>
      <w:r>
        <w:rPr>
          <w:lang w:val="ru-RU"/>
        </w:rPr>
        <w:t>Вступ</w:t>
      </w:r>
      <w:proofErr w:type="spellEnd"/>
    </w:p>
    <w:p w:rsidR="000C548E" w:rsidRDefault="000C548E" w:rsidP="004512EC"/>
    <w:p w:rsidR="007B35FC" w:rsidRDefault="004512EC" w:rsidP="004512EC">
      <w:pPr>
        <w:rPr>
          <w:color w:val="000000"/>
          <w:szCs w:val="28"/>
        </w:rPr>
      </w:pPr>
      <w:r>
        <w:t xml:space="preserve">В останні роки все більшу популярність </w:t>
      </w:r>
      <w:proofErr w:type="spellStart"/>
      <w:r>
        <w:t>набує</w:t>
      </w:r>
      <w:proofErr w:type="spellEnd"/>
      <w:r>
        <w:t xml:space="preserve"> </w:t>
      </w:r>
      <w:proofErr w:type="spellStart"/>
      <w:r>
        <w:t>технонологія</w:t>
      </w:r>
      <w:proofErr w:type="spellEnd"/>
      <w:r>
        <w:t xml:space="preserve"> віртуальної реальності, а також суміжні з нею сфери. Так </w:t>
      </w:r>
      <w:r w:rsidRPr="00C424AF">
        <w:rPr>
          <w:color w:val="000000"/>
          <w:szCs w:val="28"/>
        </w:rPr>
        <w:t>за даними порталу</w:t>
      </w:r>
      <w:r>
        <w:rPr>
          <w:color w:val="000000"/>
          <w:szCs w:val="28"/>
        </w:rPr>
        <w:t xml:space="preserve"> </w:t>
      </w:r>
      <w:r w:rsidRPr="003135C6">
        <w:rPr>
          <w:i/>
          <w:color w:val="000000"/>
          <w:szCs w:val="28"/>
        </w:rPr>
        <w:t>superdataresearch.com</w:t>
      </w:r>
      <w:r>
        <w:rPr>
          <w:color w:val="000000"/>
          <w:szCs w:val="28"/>
        </w:rPr>
        <w:t xml:space="preserve"> на 2017 рік  ринок використання віртуальної реальності збільшиться на 2.7 рази в порівнянні з минулим роком.</w:t>
      </w:r>
    </w:p>
    <w:p w:rsidR="004512EC" w:rsidRDefault="004512EC" w:rsidP="004512EC">
      <w:pPr>
        <w:jc w:val="center"/>
      </w:pPr>
      <w:r>
        <w:rPr>
          <w:noProof/>
          <w:lang w:val="ru-RU" w:eastAsia="ru-RU"/>
          <w14:ligatures w14:val="none"/>
        </w:rPr>
        <w:drawing>
          <wp:inline distT="0" distB="0" distL="0" distR="0" wp14:anchorId="2510C804" wp14:editId="771A8617">
            <wp:extent cx="5407025" cy="29812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019" cy="29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74" w:rsidRPr="00981D74" w:rsidRDefault="00981D74" w:rsidP="004512EC">
      <w:pPr>
        <w:jc w:val="center"/>
        <w:rPr>
          <w:lang w:val="en-US"/>
        </w:rPr>
      </w:pPr>
      <w:proofErr w:type="spellStart"/>
      <w:r>
        <w:t>Рисинук</w:t>
      </w:r>
      <w:proofErr w:type="spellEnd"/>
      <w:r>
        <w:t xml:space="preserve"> 1. Прогнози для ринку </w:t>
      </w:r>
      <w:r>
        <w:rPr>
          <w:lang w:val="en-US"/>
        </w:rPr>
        <w:t>VR</w:t>
      </w:r>
    </w:p>
    <w:p w:rsidR="004512EC" w:rsidRDefault="004512EC" w:rsidP="004512EC">
      <w:pPr>
        <w:jc w:val="left"/>
      </w:pPr>
    </w:p>
    <w:p w:rsidR="004512EC" w:rsidRPr="000C548E" w:rsidRDefault="004512EC" w:rsidP="004512EC">
      <w:pPr>
        <w:jc w:val="left"/>
        <w:rPr>
          <w:rFonts w:cs="Times New Roman"/>
          <w:bCs/>
          <w:color w:val="222222"/>
          <w:szCs w:val="28"/>
          <w:shd w:val="clear" w:color="auto" w:fill="FFFFFF"/>
        </w:rPr>
      </w:pPr>
      <w:proofErr w:type="spellStart"/>
      <w:r w:rsidRPr="003135C6">
        <w:rPr>
          <w:rFonts w:cs="Times New Roman"/>
          <w:bCs/>
          <w:i/>
          <w:color w:val="222222"/>
          <w:szCs w:val="28"/>
          <w:shd w:val="clear" w:color="auto" w:fill="FFFFFF"/>
        </w:rPr>
        <w:t>Ernst</w:t>
      </w:r>
      <w:proofErr w:type="spellEnd"/>
      <w:r w:rsidRPr="003135C6">
        <w:rPr>
          <w:rFonts w:cs="Times New Roman"/>
          <w:bCs/>
          <w:i/>
          <w:color w:val="222222"/>
          <w:szCs w:val="28"/>
          <w:shd w:val="clear" w:color="auto" w:fill="FFFFFF"/>
        </w:rPr>
        <w:t xml:space="preserve"> &amp; </w:t>
      </w:r>
      <w:proofErr w:type="spellStart"/>
      <w:r w:rsidRPr="003135C6">
        <w:rPr>
          <w:rFonts w:cs="Times New Roman"/>
          <w:bCs/>
          <w:i/>
          <w:color w:val="222222"/>
          <w:szCs w:val="28"/>
          <w:shd w:val="clear" w:color="auto" w:fill="FFFFFF"/>
        </w:rPr>
        <w:t>Young</w:t>
      </w:r>
      <w:proofErr w:type="spellEnd"/>
      <w:r w:rsidRPr="000C548E">
        <w:rPr>
          <w:rFonts w:cs="Times New Roman"/>
          <w:bCs/>
          <w:color w:val="222222"/>
          <w:szCs w:val="28"/>
          <w:shd w:val="clear" w:color="auto" w:fill="FFFFFF"/>
        </w:rPr>
        <w:t xml:space="preserve"> провів </w:t>
      </w:r>
      <w:r w:rsidR="005125B1" w:rsidRPr="000C548E">
        <w:rPr>
          <w:rFonts w:cs="Times New Roman"/>
          <w:bCs/>
          <w:color w:val="222222"/>
          <w:szCs w:val="28"/>
          <w:shd w:val="clear" w:color="auto" w:fill="FFFFFF"/>
        </w:rPr>
        <w:t xml:space="preserve">власне дослідження сфер застосування </w:t>
      </w:r>
      <w:r w:rsidR="005125B1" w:rsidRPr="000C548E">
        <w:rPr>
          <w:rFonts w:cs="Times New Roman"/>
          <w:bCs/>
          <w:color w:val="222222"/>
          <w:szCs w:val="28"/>
          <w:shd w:val="clear" w:color="auto" w:fill="FFFFFF"/>
          <w:lang w:val="en-US"/>
        </w:rPr>
        <w:t>VR</w:t>
      </w:r>
      <w:r w:rsidR="005125B1" w:rsidRPr="000C548E">
        <w:rPr>
          <w:rFonts w:cs="Times New Roman"/>
          <w:bCs/>
          <w:color w:val="222222"/>
          <w:szCs w:val="28"/>
          <w:shd w:val="clear" w:color="auto" w:fill="FFFFFF"/>
        </w:rPr>
        <w:t>:</w:t>
      </w:r>
    </w:p>
    <w:p w:rsidR="005125B1" w:rsidRPr="005125B1" w:rsidRDefault="005125B1" w:rsidP="004512EC">
      <w:pPr>
        <w:jc w:val="left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5125B1" w:rsidRPr="0003086C" w:rsidRDefault="0003086C" w:rsidP="0003086C">
      <w:pPr>
        <w:pStyle w:val="1"/>
        <w:spacing w:after="0"/>
        <w:ind w:left="-5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 xml:space="preserve">Таблиця 1. </w:t>
      </w:r>
      <w:proofErr w:type="spellStart"/>
      <w:r w:rsidR="000C548E" w:rsidRPr="0003086C">
        <w:rPr>
          <w:b w:val="0"/>
          <w:sz w:val="28"/>
          <w:szCs w:val="28"/>
        </w:rPr>
        <w:t>Аналіз</w:t>
      </w:r>
      <w:proofErr w:type="spellEnd"/>
      <w:r w:rsidR="000C548E" w:rsidRPr="0003086C">
        <w:rPr>
          <w:b w:val="0"/>
          <w:sz w:val="28"/>
          <w:szCs w:val="28"/>
        </w:rPr>
        <w:t xml:space="preserve"> сфер </w:t>
      </w:r>
      <w:proofErr w:type="spellStart"/>
      <w:r w:rsidR="000C548E" w:rsidRPr="0003086C">
        <w:rPr>
          <w:b w:val="0"/>
          <w:sz w:val="28"/>
          <w:szCs w:val="28"/>
        </w:rPr>
        <w:t>застосування</w:t>
      </w:r>
      <w:proofErr w:type="spellEnd"/>
      <w:r w:rsidR="000C548E" w:rsidRPr="0003086C">
        <w:rPr>
          <w:b w:val="0"/>
          <w:sz w:val="28"/>
          <w:szCs w:val="28"/>
        </w:rPr>
        <w:t xml:space="preserve"> VR</w:t>
      </w:r>
    </w:p>
    <w:tbl>
      <w:tblPr>
        <w:tblStyle w:val="TableGrid"/>
        <w:tblW w:w="9615" w:type="dxa"/>
        <w:tblInd w:w="5" w:type="dxa"/>
        <w:tblCellMar>
          <w:left w:w="101" w:type="dxa"/>
          <w:right w:w="97" w:type="dxa"/>
        </w:tblCellMar>
        <w:tblLook w:val="04A0" w:firstRow="1" w:lastRow="0" w:firstColumn="1" w:lastColumn="0" w:noHBand="0" w:noVBand="1"/>
      </w:tblPr>
      <w:tblGrid>
        <w:gridCol w:w="2590"/>
        <w:gridCol w:w="3803"/>
        <w:gridCol w:w="3222"/>
      </w:tblGrid>
      <w:tr w:rsidR="005125B1" w:rsidTr="000C548E">
        <w:trPr>
          <w:trHeight w:val="483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5B1" w:rsidRPr="005125B1" w:rsidRDefault="005125B1" w:rsidP="005125B1">
            <w:pPr>
              <w:rPr>
                <w:rFonts w:cs="Times New Roman"/>
                <w:szCs w:val="28"/>
              </w:rPr>
            </w:pP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5125B1">
            <w:pPr>
              <w:ind w:left="10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>Поточний річний обсяг ринку</w:t>
            </w:r>
          </w:p>
        </w:tc>
        <w:tc>
          <w:tcPr>
            <w:tcW w:w="3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5125B1">
            <w:pPr>
              <w:ind w:left="5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>Прогноз зростання ринку за рік</w:t>
            </w:r>
          </w:p>
        </w:tc>
      </w:tr>
      <w:tr w:rsidR="005125B1" w:rsidTr="000C548E">
        <w:trPr>
          <w:trHeight w:val="483"/>
        </w:trPr>
        <w:tc>
          <w:tcPr>
            <w:tcW w:w="15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5125B1">
            <w:pPr>
              <w:rPr>
                <w:rFonts w:cs="Times New Roman"/>
                <w:szCs w:val="28"/>
              </w:rPr>
            </w:pPr>
          </w:p>
        </w:tc>
        <w:tc>
          <w:tcPr>
            <w:tcW w:w="45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5125B1">
            <w:pPr>
              <w:rPr>
                <w:rFonts w:cs="Times New Roman"/>
                <w:szCs w:val="28"/>
              </w:rPr>
            </w:pPr>
          </w:p>
        </w:tc>
        <w:tc>
          <w:tcPr>
            <w:tcW w:w="35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5125B1">
            <w:pPr>
              <w:rPr>
                <w:rFonts w:cs="Times New Roman"/>
                <w:szCs w:val="28"/>
              </w:rPr>
            </w:pPr>
          </w:p>
        </w:tc>
      </w:tr>
      <w:tr w:rsidR="005125B1" w:rsidTr="000C548E">
        <w:trPr>
          <w:trHeight w:val="189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Arial" w:cs="Times New Roman"/>
                <w:szCs w:val="28"/>
              </w:rPr>
              <w:t>Видеоігри</w:t>
            </w:r>
            <w:proofErr w:type="spellEnd"/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0C548E">
            <w:pPr>
              <w:ind w:left="10"/>
              <w:jc w:val="left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>$106 млрд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0C548E">
            <w:pPr>
              <w:spacing w:line="244" w:lineRule="auto"/>
              <w:ind w:left="5"/>
              <w:jc w:val="left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>~$230 млн для р</w:t>
            </w:r>
            <w:r w:rsidR="000C548E">
              <w:rPr>
                <w:rFonts w:eastAsia="Arial" w:cs="Times New Roman"/>
                <w:szCs w:val="28"/>
              </w:rPr>
              <w:t>инку</w:t>
            </w:r>
            <w:r w:rsidRPr="005125B1">
              <w:rPr>
                <w:rFonts w:eastAsia="Arial" w:cs="Times New Roman"/>
                <w:szCs w:val="28"/>
              </w:rPr>
              <w:t xml:space="preserve"> консолей</w:t>
            </w:r>
          </w:p>
          <w:p w:rsidR="005125B1" w:rsidRPr="005125B1" w:rsidRDefault="005125B1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r>
              <w:rPr>
                <w:rFonts w:eastAsia="Arial" w:cs="Times New Roman"/>
                <w:szCs w:val="28"/>
              </w:rPr>
              <w:t>~$150 млн для ринку</w:t>
            </w:r>
          </w:p>
          <w:p w:rsidR="005125B1" w:rsidRPr="005125B1" w:rsidRDefault="005125B1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>ПК</w:t>
            </w:r>
          </w:p>
        </w:tc>
      </w:tr>
      <w:tr w:rsidR="005125B1" w:rsidTr="000C548E">
        <w:trPr>
          <w:trHeight w:val="28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>Заходи в прямому ефірі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0C548E">
            <w:pPr>
              <w:ind w:left="10"/>
              <w:jc w:val="left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 xml:space="preserve">$44 млрд </w:t>
            </w:r>
            <w:r w:rsidRPr="005125B1">
              <w:rPr>
                <w:rFonts w:eastAsia="Arial" w:cs="Times New Roman"/>
                <w:szCs w:val="28"/>
              </w:rPr>
              <w:t>від продажу квитків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0C548E" w:rsidRDefault="005125B1" w:rsidP="000C548E">
            <w:pPr>
              <w:ind w:left="5"/>
              <w:jc w:val="left"/>
              <w:rPr>
                <w:rFonts w:eastAsia="Arial"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 xml:space="preserve">~715 млн </w:t>
            </w:r>
            <w:r w:rsidR="000C548E" w:rsidRPr="000C548E">
              <w:rPr>
                <w:rFonts w:eastAsia="Arial" w:cs="Times New Roman"/>
                <w:szCs w:val="28"/>
              </w:rPr>
              <w:t>глядачів</w:t>
            </w:r>
          </w:p>
          <w:p w:rsidR="000C548E" w:rsidRDefault="000C548E" w:rsidP="000C548E">
            <w:pPr>
              <w:jc w:val="left"/>
              <w:rPr>
                <w:rFonts w:eastAsia="Arial" w:cs="Times New Roman"/>
                <w:szCs w:val="28"/>
              </w:rPr>
            </w:pPr>
            <w:r w:rsidRPr="000C548E">
              <w:rPr>
                <w:rFonts w:eastAsia="Arial" w:cs="Times New Roman"/>
                <w:szCs w:val="28"/>
              </w:rPr>
              <w:t>Кубка світу</w:t>
            </w:r>
          </w:p>
          <w:p w:rsidR="000C548E" w:rsidRDefault="000C548E" w:rsidP="000C548E">
            <w:pPr>
              <w:ind w:left="5"/>
              <w:jc w:val="left"/>
              <w:rPr>
                <w:rFonts w:eastAsia="Arial" w:cs="Times New Roman"/>
                <w:szCs w:val="28"/>
              </w:rPr>
            </w:pPr>
            <w:r w:rsidRPr="000C548E">
              <w:rPr>
                <w:rFonts w:eastAsia="Arial" w:cs="Times New Roman"/>
                <w:szCs w:val="28"/>
              </w:rPr>
              <w:lastRenderedPageBreak/>
              <w:t xml:space="preserve">~ 160 млн глядачів фіналу </w:t>
            </w:r>
            <w:proofErr w:type="spellStart"/>
            <w:r w:rsidRPr="000C548E">
              <w:rPr>
                <w:rFonts w:eastAsia="Arial" w:cs="Times New Roman"/>
                <w:szCs w:val="28"/>
              </w:rPr>
              <w:t>Super</w:t>
            </w:r>
            <w:proofErr w:type="spellEnd"/>
            <w:r w:rsidRPr="000C548E">
              <w:rPr>
                <w:rFonts w:eastAsia="Arial" w:cs="Times New Roman"/>
                <w:szCs w:val="28"/>
              </w:rPr>
              <w:t xml:space="preserve"> </w:t>
            </w:r>
            <w:proofErr w:type="spellStart"/>
            <w:r w:rsidRPr="000C548E">
              <w:rPr>
                <w:rFonts w:eastAsia="Arial" w:cs="Times New Roman"/>
                <w:szCs w:val="28"/>
              </w:rPr>
              <w:t>Bowl</w:t>
            </w:r>
            <w:proofErr w:type="spellEnd"/>
          </w:p>
          <w:p w:rsidR="005125B1" w:rsidRPr="005125B1" w:rsidRDefault="000C548E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r>
              <w:rPr>
                <w:rFonts w:eastAsia="Arial" w:cs="Times New Roman"/>
                <w:szCs w:val="28"/>
              </w:rPr>
              <w:t>~92 млн абоненті</w:t>
            </w:r>
            <w:r w:rsidR="005125B1" w:rsidRPr="005125B1">
              <w:rPr>
                <w:rFonts w:eastAsia="Arial" w:cs="Times New Roman"/>
                <w:szCs w:val="28"/>
              </w:rPr>
              <w:t>в</w:t>
            </w:r>
          </w:p>
          <w:p w:rsidR="005125B1" w:rsidRPr="005125B1" w:rsidRDefault="005125B1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>ESPN</w:t>
            </w:r>
          </w:p>
        </w:tc>
      </w:tr>
      <w:tr w:rsidR="005125B1" w:rsidTr="000C548E">
        <w:trPr>
          <w:trHeight w:val="9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0C548E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Arial" w:cs="Times New Roman"/>
                <w:szCs w:val="28"/>
              </w:rPr>
              <w:lastRenderedPageBreak/>
              <w:t>Кино</w:t>
            </w:r>
            <w:proofErr w:type="spellEnd"/>
            <w:r>
              <w:rPr>
                <w:rFonts w:eastAsia="Arial" w:cs="Times New Roman"/>
                <w:szCs w:val="28"/>
              </w:rPr>
              <w:t xml:space="preserve"> і серіали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0C548E">
            <w:pPr>
              <w:ind w:left="10"/>
              <w:jc w:val="left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>$44 млрд (</w:t>
            </w:r>
            <w:proofErr w:type="spellStart"/>
            <w:r w:rsidRPr="005125B1">
              <w:rPr>
                <w:rFonts w:eastAsia="Arial" w:cs="Times New Roman"/>
                <w:szCs w:val="28"/>
              </w:rPr>
              <w:t>Netflix</w:t>
            </w:r>
            <w:proofErr w:type="spellEnd"/>
            <w:r w:rsidRPr="005125B1">
              <w:rPr>
                <w:rFonts w:eastAsia="Arial" w:cs="Times New Roman"/>
                <w:szCs w:val="28"/>
              </w:rPr>
              <w:t>)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0C548E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r>
              <w:rPr>
                <w:rFonts w:eastAsia="Arial" w:cs="Times New Roman"/>
                <w:szCs w:val="28"/>
              </w:rPr>
              <w:t xml:space="preserve">450 </w:t>
            </w:r>
            <w:r w:rsidRPr="000C548E">
              <w:rPr>
                <w:rFonts w:eastAsia="Arial" w:cs="Times New Roman"/>
                <w:szCs w:val="28"/>
              </w:rPr>
              <w:t xml:space="preserve">млн абонентів </w:t>
            </w:r>
            <w:proofErr w:type="spellStart"/>
            <w:r w:rsidRPr="000C548E">
              <w:rPr>
                <w:rFonts w:eastAsia="Arial" w:cs="Times New Roman"/>
                <w:szCs w:val="28"/>
              </w:rPr>
              <w:t>Netflix</w:t>
            </w:r>
            <w:proofErr w:type="spellEnd"/>
          </w:p>
        </w:tc>
      </w:tr>
      <w:tr w:rsidR="005125B1" w:rsidTr="000C548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0C548E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r>
              <w:rPr>
                <w:rFonts w:eastAsia="Arial" w:cs="Times New Roman"/>
                <w:szCs w:val="28"/>
              </w:rPr>
              <w:t xml:space="preserve">Продажі </w:t>
            </w:r>
            <w:r w:rsidR="005125B1" w:rsidRPr="005125B1">
              <w:rPr>
                <w:rFonts w:eastAsia="Arial" w:cs="Times New Roman"/>
                <w:szCs w:val="28"/>
              </w:rPr>
              <w:t>(маркетинг)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0C548E" w:rsidRDefault="000C548E" w:rsidP="000C548E">
            <w:pPr>
              <w:ind w:left="10"/>
              <w:jc w:val="left"/>
              <w:rPr>
                <w:rFonts w:eastAsia="Arial" w:cs="Times New Roman"/>
                <w:szCs w:val="28"/>
              </w:rPr>
            </w:pPr>
            <w:r w:rsidRPr="000C548E">
              <w:rPr>
                <w:rFonts w:eastAsia="Arial" w:cs="Times New Roman"/>
                <w:szCs w:val="28"/>
              </w:rPr>
              <w:t>$ 3 млрд від продажі ПЗ</w:t>
            </w:r>
          </w:p>
          <w:p w:rsidR="000C548E" w:rsidRPr="000C548E" w:rsidRDefault="000C548E" w:rsidP="000C548E">
            <w:pPr>
              <w:ind w:left="10"/>
              <w:jc w:val="left"/>
              <w:rPr>
                <w:rFonts w:eastAsia="Arial" w:cs="Times New Roman"/>
                <w:szCs w:val="28"/>
              </w:rPr>
            </w:pPr>
            <w:r w:rsidRPr="000C548E">
              <w:rPr>
                <w:rFonts w:eastAsia="Arial" w:cs="Times New Roman"/>
                <w:szCs w:val="28"/>
              </w:rPr>
              <w:t>$ 1.5 трлн - загальний рівень продажів на електронному</w:t>
            </w:r>
          </w:p>
          <w:p w:rsidR="005125B1" w:rsidRPr="005125B1" w:rsidRDefault="000C548E" w:rsidP="000C548E">
            <w:pPr>
              <w:ind w:left="10"/>
              <w:jc w:val="left"/>
              <w:rPr>
                <w:rFonts w:cs="Times New Roman"/>
                <w:szCs w:val="28"/>
              </w:rPr>
            </w:pPr>
            <w:r w:rsidRPr="000C548E">
              <w:rPr>
                <w:rFonts w:eastAsia="Arial" w:cs="Times New Roman"/>
                <w:szCs w:val="28"/>
              </w:rPr>
              <w:t>ринку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0C548E">
            <w:pPr>
              <w:ind w:left="5"/>
              <w:jc w:val="left"/>
              <w:rPr>
                <w:rFonts w:cs="Times New Roman"/>
                <w:szCs w:val="28"/>
              </w:rPr>
            </w:pPr>
            <w:r w:rsidRPr="005125B1">
              <w:rPr>
                <w:rFonts w:eastAsia="Arial" w:cs="Times New Roman"/>
                <w:szCs w:val="28"/>
              </w:rPr>
              <w:t xml:space="preserve">1+ </w:t>
            </w:r>
            <w:r w:rsidR="000C548E" w:rsidRPr="000C548E">
              <w:rPr>
                <w:rFonts w:eastAsia="Arial" w:cs="Times New Roman"/>
                <w:szCs w:val="28"/>
              </w:rPr>
              <w:t>млрд онлайн покупців</w:t>
            </w:r>
          </w:p>
        </w:tc>
      </w:tr>
      <w:tr w:rsidR="000C548E" w:rsidTr="000C548E">
        <w:trPr>
          <w:trHeight w:val="23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863CC" w:rsidRDefault="000C548E" w:rsidP="000C548E">
            <w:pPr>
              <w:jc w:val="left"/>
            </w:pPr>
            <w:r w:rsidRPr="004863CC">
              <w:t>Освіта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27328C" w:rsidRDefault="000C548E" w:rsidP="000C548E">
            <w:pPr>
              <w:jc w:val="left"/>
            </w:pPr>
            <w:r w:rsidRPr="0027328C">
              <w:t>$ 12 млрд - загальний рівень продажів ПО для вищої та середньої освіти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23FC8" w:rsidRDefault="000C548E" w:rsidP="000C548E">
            <w:pPr>
              <w:jc w:val="left"/>
            </w:pPr>
            <w:r w:rsidRPr="00423FC8">
              <w:t>~ 200 млн учнів і студентів</w:t>
            </w:r>
          </w:p>
        </w:tc>
      </w:tr>
      <w:tr w:rsidR="000C548E" w:rsidTr="000C548E">
        <w:trPr>
          <w:trHeight w:val="23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863CC" w:rsidRDefault="000C548E" w:rsidP="000C548E">
            <w:pPr>
              <w:ind w:firstLine="0"/>
              <w:jc w:val="left"/>
            </w:pPr>
            <w:r w:rsidRPr="004863CC">
              <w:t>Охорона здоров'я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27328C" w:rsidRDefault="000C548E" w:rsidP="000C548E">
            <w:pPr>
              <w:jc w:val="left"/>
            </w:pPr>
            <w:r w:rsidRPr="0027328C">
              <w:t>$ 16 млрд - рівень продажів на ринку медичних пристроїв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23FC8" w:rsidRDefault="000C548E" w:rsidP="000C548E">
            <w:pPr>
              <w:jc w:val="left"/>
            </w:pPr>
            <w:r w:rsidRPr="00423FC8">
              <w:t>~ 8 млн докторів</w:t>
            </w:r>
          </w:p>
        </w:tc>
      </w:tr>
      <w:tr w:rsidR="000C548E" w:rsidTr="000C548E">
        <w:trPr>
          <w:trHeight w:val="9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863CC" w:rsidRDefault="000C548E" w:rsidP="000C548E">
            <w:pPr>
              <w:jc w:val="left"/>
            </w:pPr>
            <w:r>
              <w:t>П</w:t>
            </w:r>
            <w:r w:rsidRPr="004863CC">
              <w:t>роектування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27328C" w:rsidRDefault="000C548E" w:rsidP="000C548E">
            <w:pPr>
              <w:jc w:val="left"/>
            </w:pPr>
            <w:r w:rsidRPr="0027328C">
              <w:t>$ 20 млрд - загальний рівень продажів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23FC8" w:rsidRDefault="000C548E" w:rsidP="000C548E">
            <w:pPr>
              <w:jc w:val="left"/>
            </w:pPr>
            <w:r w:rsidRPr="00423FC8">
              <w:t>~ 6 млн інженерів</w:t>
            </w:r>
          </w:p>
        </w:tc>
      </w:tr>
      <w:tr w:rsidR="000C548E" w:rsidTr="000C548E">
        <w:trPr>
          <w:trHeight w:val="9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863CC" w:rsidRDefault="000C548E" w:rsidP="000C548E">
            <w:pPr>
              <w:jc w:val="left"/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27328C" w:rsidRDefault="000C548E" w:rsidP="000C548E">
            <w:pPr>
              <w:jc w:val="left"/>
            </w:pPr>
            <w:r w:rsidRPr="0027328C">
              <w:t>ПО для проектування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23FC8" w:rsidRDefault="000C548E" w:rsidP="000C548E">
            <w:pPr>
              <w:jc w:val="left"/>
            </w:pPr>
          </w:p>
        </w:tc>
      </w:tr>
      <w:tr w:rsidR="000C548E" w:rsidTr="000C548E">
        <w:trPr>
          <w:trHeight w:val="189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4863CC" w:rsidRDefault="000C548E" w:rsidP="000C548E">
            <w:pPr>
              <w:jc w:val="left"/>
            </w:pPr>
            <w:r w:rsidRPr="004863CC">
              <w:t>Військова промисловість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Default="000C548E" w:rsidP="000C548E">
            <w:pPr>
              <w:jc w:val="left"/>
            </w:pPr>
            <w:r w:rsidRPr="0027328C">
              <w:t>$ 9 млрд - витрати на ПЗ для підготовки військовослужбовців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Default="000C548E" w:rsidP="000C548E">
            <w:pPr>
              <w:jc w:val="left"/>
            </w:pPr>
            <w:r w:rsidRPr="00423FC8">
              <w:t>~ 6.9 млн військовослужбовців</w:t>
            </w:r>
          </w:p>
        </w:tc>
      </w:tr>
      <w:tr w:rsidR="000C548E" w:rsidTr="000C548E">
        <w:trPr>
          <w:trHeight w:val="9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Default="000C548E" w:rsidP="000C548E">
            <w:pPr>
              <w:ind w:firstLine="0"/>
              <w:jc w:val="left"/>
            </w:pPr>
            <w:r w:rsidRPr="004863CC">
              <w:t>Загальна сума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48E" w:rsidRPr="005125B1" w:rsidRDefault="000C548E" w:rsidP="000C548E">
            <w:pPr>
              <w:rPr>
                <w:rFonts w:cs="Times New Roman"/>
                <w:szCs w:val="28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rPr>
                <w:rFonts w:cs="Times New Roman"/>
                <w:szCs w:val="28"/>
              </w:rPr>
            </w:pPr>
          </w:p>
        </w:tc>
      </w:tr>
    </w:tbl>
    <w:p w:rsidR="005125B1" w:rsidRDefault="005125B1" w:rsidP="005125B1">
      <w:pPr>
        <w:spacing w:after="327"/>
        <w:rPr>
          <w:rFonts w:ascii="Arial" w:eastAsia="Arial" w:hAnsi="Arial" w:cs="Arial"/>
          <w:b/>
          <w:sz w:val="15"/>
        </w:rPr>
      </w:pPr>
    </w:p>
    <w:p w:rsidR="005125B1" w:rsidRDefault="005125B1" w:rsidP="005125B1">
      <w:pPr>
        <w:spacing w:after="327"/>
        <w:rPr>
          <w:rFonts w:ascii="Arial" w:eastAsia="Arial" w:hAnsi="Arial" w:cs="Arial"/>
          <w:b/>
          <w:sz w:val="15"/>
        </w:rPr>
      </w:pPr>
    </w:p>
    <w:p w:rsidR="005125B1" w:rsidRDefault="005125B1" w:rsidP="005125B1">
      <w:pPr>
        <w:spacing w:after="327"/>
        <w:rPr>
          <w:rFonts w:ascii="Arial" w:eastAsia="Arial" w:hAnsi="Arial" w:cs="Arial"/>
          <w:b/>
          <w:sz w:val="15"/>
        </w:rPr>
      </w:pPr>
    </w:p>
    <w:p w:rsidR="005125B1" w:rsidRDefault="005125B1" w:rsidP="005125B1">
      <w:pPr>
        <w:spacing w:after="327"/>
        <w:rPr>
          <w:rFonts w:ascii="Arial" w:eastAsia="Arial" w:hAnsi="Arial" w:cs="Arial"/>
          <w:b/>
          <w:sz w:val="15"/>
        </w:rPr>
      </w:pPr>
    </w:p>
    <w:tbl>
      <w:tblPr>
        <w:tblStyle w:val="TableGrid"/>
        <w:tblW w:w="9340" w:type="dxa"/>
        <w:tblInd w:w="5" w:type="dxa"/>
        <w:tblCellMar>
          <w:left w:w="101" w:type="dxa"/>
          <w:right w:w="97" w:type="dxa"/>
        </w:tblCellMar>
        <w:tblLook w:val="04A0" w:firstRow="1" w:lastRow="0" w:firstColumn="1" w:lastColumn="0" w:noHBand="0" w:noVBand="1"/>
      </w:tblPr>
      <w:tblGrid>
        <w:gridCol w:w="2537"/>
        <w:gridCol w:w="1910"/>
        <w:gridCol w:w="1554"/>
        <w:gridCol w:w="1805"/>
        <w:gridCol w:w="1534"/>
      </w:tblGrid>
      <w:tr w:rsidR="000C548E" w:rsidTr="000C548E">
        <w:trPr>
          <w:trHeight w:val="267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5125B1">
            <w:pPr>
              <w:ind w:left="5"/>
              <w:jc w:val="right"/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0C548E" w:rsidP="000C548E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Результати до</w:t>
            </w:r>
            <w:r w:rsidR="005125B1" w:rsidRPr="005125B1">
              <w:rPr>
                <w:rFonts w:ascii="Arial" w:eastAsia="Arial" w:hAnsi="Arial" w:cs="Arial"/>
                <w:sz w:val="24"/>
                <w:szCs w:val="24"/>
              </w:rPr>
              <w:t xml:space="preserve"> 2020 </w:t>
            </w:r>
            <w:r>
              <w:rPr>
                <w:rFonts w:ascii="Arial" w:eastAsia="Arial" w:hAnsi="Arial" w:cs="Arial"/>
                <w:sz w:val="24"/>
                <w:szCs w:val="24"/>
              </w:rPr>
              <w:t>року</w:t>
            </w:r>
          </w:p>
        </w:tc>
        <w:tc>
          <w:tcPr>
            <w:tcW w:w="3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0C548E">
            <w:pPr>
              <w:ind w:left="5"/>
              <w:jc w:val="center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Результат</w:t>
            </w:r>
            <w:r w:rsidR="000C548E">
              <w:rPr>
                <w:rFonts w:ascii="Arial" w:eastAsia="Arial" w:hAnsi="Arial" w:cs="Arial"/>
                <w:sz w:val="24"/>
                <w:szCs w:val="24"/>
              </w:rPr>
              <w:t>и до 2025 року</w:t>
            </w:r>
          </w:p>
        </w:tc>
      </w:tr>
      <w:tr w:rsidR="000C548E" w:rsidTr="000C548E">
        <w:trPr>
          <w:trHeight w:val="534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5125B1" w:rsidP="005125B1">
            <w:pPr>
              <w:ind w:left="5"/>
              <w:jc w:val="right"/>
              <w:rPr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0C548E" w:rsidP="000C548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Ч</w:t>
            </w:r>
            <w:r w:rsidRPr="000C548E">
              <w:rPr>
                <w:rFonts w:ascii="Arial" w:eastAsia="Arial" w:hAnsi="Arial" w:cs="Arial"/>
                <w:sz w:val="24"/>
                <w:szCs w:val="24"/>
              </w:rPr>
              <w:t>исло користувачів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0C548E" w:rsidP="000C548E">
            <w:pPr>
              <w:ind w:left="10" w:firstLine="0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</w:t>
            </w:r>
            <w:r w:rsidRPr="000C548E">
              <w:rPr>
                <w:rFonts w:ascii="Arial" w:eastAsia="Arial" w:hAnsi="Arial" w:cs="Arial"/>
                <w:sz w:val="24"/>
                <w:szCs w:val="24"/>
              </w:rPr>
              <w:t>рибуток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0C548E" w:rsidP="000C548E">
            <w:pPr>
              <w:ind w:left="5" w:firstLine="0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Ч</w:t>
            </w:r>
            <w:r w:rsidRPr="000C548E">
              <w:rPr>
                <w:rFonts w:ascii="Arial" w:eastAsia="Arial" w:hAnsi="Arial" w:cs="Arial"/>
                <w:sz w:val="24"/>
                <w:szCs w:val="24"/>
              </w:rPr>
              <w:t>исло користувачів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5B1" w:rsidRPr="005125B1" w:rsidRDefault="000C548E" w:rsidP="000C548E">
            <w:pPr>
              <w:ind w:left="5" w:firstLine="0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</w:t>
            </w:r>
            <w:r w:rsidRPr="000C548E">
              <w:rPr>
                <w:rFonts w:ascii="Arial" w:eastAsia="Arial" w:hAnsi="Arial" w:cs="Arial"/>
                <w:sz w:val="24"/>
                <w:szCs w:val="24"/>
              </w:rPr>
              <w:t>рибуток</w:t>
            </w:r>
          </w:p>
        </w:tc>
      </w:tr>
      <w:tr w:rsidR="000C548E" w:rsidTr="000C548E">
        <w:trPr>
          <w:trHeight w:val="44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E175BB" w:rsidRDefault="000C548E" w:rsidP="000C548E">
            <w:pPr>
              <w:jc w:val="left"/>
            </w:pPr>
            <w:r w:rsidRPr="00E175BB">
              <w:t>Відеоігри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70 млн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 w:right="34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$6.9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216 млн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$11.6 млрд</w:t>
            </w:r>
          </w:p>
        </w:tc>
      </w:tr>
      <w:tr w:rsidR="000C548E" w:rsidTr="000C548E">
        <w:trPr>
          <w:trHeight w:val="35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E175BB" w:rsidRDefault="000C548E" w:rsidP="000C548E">
            <w:pPr>
              <w:jc w:val="left"/>
            </w:pPr>
            <w:r w:rsidRPr="00E175BB">
              <w:t>Заходи в прямому ефірі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28 млн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 w:right="34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$0.8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95 млн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 w:right="28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$4.1 млрд</w:t>
            </w:r>
          </w:p>
        </w:tc>
      </w:tr>
      <w:tr w:rsidR="000C548E" w:rsidTr="000C548E">
        <w:trPr>
          <w:trHeight w:val="337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E175BB" w:rsidRDefault="000C548E" w:rsidP="000C548E">
            <w:pPr>
              <w:jc w:val="left"/>
            </w:pPr>
            <w:r w:rsidRPr="00E175BB">
              <w:t>Кіно і серіали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24 млн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 w:right="34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$0.8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79 млн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 w:right="23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$3.2 млрд</w:t>
            </w:r>
          </w:p>
        </w:tc>
      </w:tr>
      <w:tr w:rsidR="000C548E" w:rsidTr="000C548E">
        <w:trPr>
          <w:trHeight w:val="27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E175BB" w:rsidRDefault="000C548E" w:rsidP="000C548E">
            <w:pPr>
              <w:jc w:val="left"/>
            </w:pPr>
            <w:r w:rsidRPr="00E175BB">
              <w:t>Продажі (маркетинг)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9.5 млн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 w:right="34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$0.5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31.5 млн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 w:right="28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$1.6 млрд</w:t>
            </w:r>
          </w:p>
        </w:tc>
      </w:tr>
      <w:tr w:rsidR="000C548E" w:rsidTr="000C548E">
        <w:trPr>
          <w:trHeight w:val="276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E175BB" w:rsidRDefault="000C548E" w:rsidP="000C548E">
            <w:pPr>
              <w:jc w:val="left"/>
            </w:pPr>
            <w:r w:rsidRPr="00E175BB">
              <w:t>Освіта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7 млн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 w:right="34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$0.3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15 млн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 w:right="28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$0.7 млрд</w:t>
            </w:r>
          </w:p>
        </w:tc>
      </w:tr>
      <w:tr w:rsidR="000C548E" w:rsidTr="000C548E">
        <w:trPr>
          <w:trHeight w:val="407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E175BB" w:rsidRDefault="000C548E" w:rsidP="000C548E">
            <w:pPr>
              <w:jc w:val="left"/>
            </w:pPr>
            <w:r w:rsidRPr="00E175BB">
              <w:t>Охорона здоров'я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0.8 млн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 w:right="39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$1.2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3.4 млн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 w:right="28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$5.1 млрд</w:t>
            </w:r>
          </w:p>
        </w:tc>
      </w:tr>
      <w:tr w:rsidR="000C548E" w:rsidTr="000C548E">
        <w:trPr>
          <w:trHeight w:val="414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E175BB" w:rsidRDefault="000C548E" w:rsidP="000C548E">
            <w:pPr>
              <w:jc w:val="left"/>
            </w:pPr>
            <w:r w:rsidRPr="00E175BB">
              <w:t>проектування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1 млн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 w:right="39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$1.5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3.2 млн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 w:right="28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$4.7 млрд</w:t>
            </w:r>
          </w:p>
        </w:tc>
      </w:tr>
      <w:tr w:rsidR="000C548E" w:rsidTr="000C548E">
        <w:trPr>
          <w:trHeight w:val="414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E175BB" w:rsidRDefault="000C548E" w:rsidP="000C548E">
            <w:pPr>
              <w:jc w:val="left"/>
            </w:pPr>
            <w:r w:rsidRPr="00E175BB">
              <w:t>Військова промисловість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firstLine="0"/>
              <w:jc w:val="center"/>
              <w:rPr>
                <w:sz w:val="24"/>
                <w:szCs w:val="24"/>
              </w:rPr>
            </w:pPr>
            <w:r w:rsidRPr="000C548E">
              <w:rPr>
                <w:rFonts w:ascii="Arial" w:eastAsia="Arial" w:hAnsi="Arial" w:cs="Arial"/>
                <w:sz w:val="24"/>
                <w:szCs w:val="24"/>
              </w:rPr>
              <w:t xml:space="preserve">Залежить від </w:t>
            </w:r>
            <w:proofErr w:type="spellStart"/>
            <w:r w:rsidRPr="000C548E">
              <w:rPr>
                <w:rFonts w:ascii="Arial" w:eastAsia="Arial" w:hAnsi="Arial" w:cs="Arial"/>
                <w:sz w:val="24"/>
                <w:szCs w:val="24"/>
              </w:rPr>
              <w:t>закупівель</w:t>
            </w:r>
            <w:proofErr w:type="spellEnd"/>
            <w:r w:rsidRPr="000C548E">
              <w:rPr>
                <w:rFonts w:ascii="Arial" w:eastAsia="Arial" w:hAnsi="Arial" w:cs="Arial"/>
                <w:sz w:val="24"/>
                <w:szCs w:val="24"/>
              </w:rPr>
              <w:t xml:space="preserve"> обладнання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 w:right="6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$0.5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 w:firstLine="0"/>
              <w:jc w:val="center"/>
              <w:rPr>
                <w:sz w:val="24"/>
                <w:szCs w:val="24"/>
              </w:rPr>
            </w:pPr>
            <w:r w:rsidRPr="000C548E">
              <w:rPr>
                <w:rFonts w:ascii="Arial" w:eastAsia="Arial" w:hAnsi="Arial" w:cs="Arial"/>
                <w:sz w:val="24"/>
                <w:szCs w:val="24"/>
              </w:rPr>
              <w:t xml:space="preserve">Залежить від </w:t>
            </w:r>
            <w:proofErr w:type="spellStart"/>
            <w:r w:rsidRPr="000C548E">
              <w:rPr>
                <w:rFonts w:ascii="Arial" w:eastAsia="Arial" w:hAnsi="Arial" w:cs="Arial"/>
                <w:sz w:val="24"/>
                <w:szCs w:val="24"/>
              </w:rPr>
              <w:t>закупівель</w:t>
            </w:r>
            <w:proofErr w:type="spellEnd"/>
            <w:r w:rsidRPr="000C548E">
              <w:rPr>
                <w:rFonts w:ascii="Arial" w:eastAsia="Arial" w:hAnsi="Arial" w:cs="Arial"/>
                <w:sz w:val="24"/>
                <w:szCs w:val="24"/>
              </w:rPr>
              <w:t xml:space="preserve"> обладнання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$1.4 млрд</w:t>
            </w:r>
          </w:p>
        </w:tc>
      </w:tr>
      <w:tr w:rsidR="000C548E" w:rsidTr="000C548E">
        <w:trPr>
          <w:trHeight w:val="414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Default="000C548E" w:rsidP="000C548E">
            <w:pPr>
              <w:jc w:val="left"/>
            </w:pPr>
            <w:r w:rsidRPr="00E175BB">
              <w:t>Загальна сума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95 млн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10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$13.1 млрд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315 млн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48E" w:rsidRPr="005125B1" w:rsidRDefault="000C548E" w:rsidP="000C548E">
            <w:pPr>
              <w:ind w:left="5"/>
              <w:jc w:val="right"/>
              <w:rPr>
                <w:sz w:val="24"/>
                <w:szCs w:val="24"/>
              </w:rPr>
            </w:pPr>
            <w:r w:rsidRPr="005125B1">
              <w:rPr>
                <w:rFonts w:ascii="Arial" w:eastAsia="Arial" w:hAnsi="Arial" w:cs="Arial"/>
                <w:sz w:val="24"/>
                <w:szCs w:val="24"/>
              </w:rPr>
              <w:t>$35 млрд</w:t>
            </w:r>
          </w:p>
        </w:tc>
      </w:tr>
    </w:tbl>
    <w:p w:rsidR="003135C6" w:rsidRDefault="003135C6" w:rsidP="005125B1">
      <w:pPr>
        <w:spacing w:after="263" w:line="248" w:lineRule="auto"/>
        <w:ind w:left="-5" w:firstLine="713"/>
        <w:rPr>
          <w:rFonts w:eastAsia="Arial" w:cs="Times New Roman"/>
          <w:szCs w:val="28"/>
        </w:rPr>
      </w:pPr>
    </w:p>
    <w:p w:rsidR="005125B1" w:rsidRDefault="005125B1" w:rsidP="003135C6">
      <w:pPr>
        <w:spacing w:after="263"/>
        <w:ind w:left="-5" w:firstLine="713"/>
        <w:rPr>
          <w:rFonts w:eastAsia="Arial" w:cs="Times New Roman"/>
          <w:szCs w:val="28"/>
        </w:rPr>
      </w:pPr>
      <w:r w:rsidRPr="005125B1">
        <w:rPr>
          <w:rFonts w:eastAsia="Arial" w:cs="Times New Roman"/>
          <w:szCs w:val="28"/>
        </w:rPr>
        <w:t>Основною проблемою розвитку на даний момент являється відсутність у розробників необхідних інструментів і клієнтської бази. Користувачі, в свою чергу, не до кінця довіряють розробникам програмного забезпечення для віртуальної реальності через те, що немає гучних проектів.</w:t>
      </w:r>
    </w:p>
    <w:p w:rsidR="005125B1" w:rsidRDefault="005125B1" w:rsidP="003135C6">
      <w:pPr>
        <w:spacing w:after="263"/>
      </w:pPr>
      <w:r>
        <w:rPr>
          <w:rFonts w:eastAsia="Arial" w:cs="Times New Roman"/>
          <w:szCs w:val="28"/>
        </w:rPr>
        <w:t xml:space="preserve">Левову частину користувацького ринку займають відеоігри. </w:t>
      </w:r>
      <w:r>
        <w:t xml:space="preserve">Згідно з даними </w:t>
      </w:r>
      <w:proofErr w:type="spellStart"/>
      <w:r w:rsidRPr="003135C6">
        <w:rPr>
          <w:i/>
        </w:rPr>
        <w:t>Goldman</w:t>
      </w:r>
      <w:proofErr w:type="spellEnd"/>
      <w:r w:rsidRPr="003135C6">
        <w:rPr>
          <w:i/>
        </w:rPr>
        <w:t xml:space="preserve"> </w:t>
      </w:r>
      <w:proofErr w:type="spellStart"/>
      <w:r w:rsidRPr="003135C6">
        <w:rPr>
          <w:i/>
        </w:rPr>
        <w:t>Sachs</w:t>
      </w:r>
      <w:proofErr w:type="spellEnd"/>
      <w:r>
        <w:t xml:space="preserve">, в світі приблизно 230 млн консолей і 150 млн гравців на ПК. Фахівці впевнені, що віртуальну реальність використовуватимуть в </w:t>
      </w:r>
      <w:r>
        <w:lastRenderedPageBreak/>
        <w:t xml:space="preserve">основному </w:t>
      </w:r>
      <w:proofErr w:type="spellStart"/>
      <w:r>
        <w:t>геймери</w:t>
      </w:r>
      <w:proofErr w:type="spellEnd"/>
      <w:r>
        <w:t xml:space="preserve">, які проводять за іграми більше 15 годин на тиждень, - це 30% власників ігрових приставок. Продажі </w:t>
      </w:r>
      <w:proofErr w:type="spellStart"/>
      <w:r w:rsidRPr="003135C6">
        <w:rPr>
          <w:i/>
        </w:rPr>
        <w:t>Oculus</w:t>
      </w:r>
      <w:proofErr w:type="spellEnd"/>
      <w:r>
        <w:t xml:space="preserve"> (на думку більшості фахівців, найпопулярнішим пристроєм віртуальної реальності для ПК стане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Rift</w:t>
      </w:r>
      <w:proofErr w:type="spellEnd"/>
      <w:r>
        <w:t xml:space="preserve">) будуть націлені на ринок розвинених країн (150 млн користувачів), оскільки використання цього </w:t>
      </w:r>
      <w:proofErr w:type="spellStart"/>
      <w:r>
        <w:t>девайса</w:t>
      </w:r>
      <w:proofErr w:type="spellEnd"/>
      <w:r>
        <w:t xml:space="preserve"> на увазі наявність потужного ігрового комп'ютера.</w:t>
      </w:r>
      <w:r>
        <w:t xml:space="preserve"> </w:t>
      </w:r>
    </w:p>
    <w:p w:rsidR="005125B1" w:rsidRDefault="005125B1" w:rsidP="003135C6">
      <w:pPr>
        <w:spacing w:after="263"/>
      </w:pPr>
      <w:r>
        <w:t>Труднощі.</w:t>
      </w:r>
      <w:r>
        <w:t xml:space="preserve"> Висока вартість створення нових ігрових серій. Такі найбільші розробники, як </w:t>
      </w:r>
      <w:r w:rsidRPr="003135C6">
        <w:rPr>
          <w:i/>
        </w:rPr>
        <w:t xml:space="preserve">EA </w:t>
      </w:r>
      <w:proofErr w:type="spellStart"/>
      <w:r w:rsidRPr="003135C6">
        <w:rPr>
          <w:i/>
        </w:rPr>
        <w:t>Sports</w:t>
      </w:r>
      <w:proofErr w:type="spellEnd"/>
      <w:r>
        <w:t xml:space="preserve"> і </w:t>
      </w:r>
      <w:proofErr w:type="spellStart"/>
      <w:r w:rsidRPr="003135C6">
        <w:rPr>
          <w:i/>
        </w:rPr>
        <w:t>Activision</w:t>
      </w:r>
      <w:proofErr w:type="spellEnd"/>
      <w:r>
        <w:t>, заявили, що на створення нової ігрової серії для віртуальної реальності потрібно буде витратити від $ 75 млн до $ 100 млн, - в той час як розробка гри з уже готовою серії обходиться приблизно в $ 10 млн.</w:t>
      </w:r>
    </w:p>
    <w:p w:rsidR="005125B1" w:rsidRDefault="005125B1" w:rsidP="003135C6">
      <w:pPr>
        <w:spacing w:after="263"/>
      </w:pPr>
      <w:r>
        <w:t xml:space="preserve">Можливий прибуток. За підрахунками </w:t>
      </w:r>
      <w:proofErr w:type="spellStart"/>
      <w:r w:rsidRPr="003135C6">
        <w:rPr>
          <w:i/>
        </w:rPr>
        <w:t>Goldman</w:t>
      </w:r>
      <w:proofErr w:type="spellEnd"/>
      <w:r w:rsidRPr="003135C6">
        <w:rPr>
          <w:i/>
        </w:rPr>
        <w:t xml:space="preserve"> </w:t>
      </w:r>
      <w:proofErr w:type="spellStart"/>
      <w:r w:rsidRPr="003135C6">
        <w:rPr>
          <w:i/>
        </w:rPr>
        <w:t>Sachs</w:t>
      </w:r>
      <w:proofErr w:type="spellEnd"/>
      <w:r>
        <w:t>, ринок відеоігор для проектів VR принесе прибуток в розмірі $ 6,9 млрд в 2020 році і $ 11,6 млрд - в 2025 році:</w:t>
      </w:r>
    </w:p>
    <w:p w:rsidR="005125B1" w:rsidRDefault="005125B1" w:rsidP="003135C6">
      <w:pPr>
        <w:spacing w:after="263"/>
      </w:pPr>
      <w:r>
        <w:t xml:space="preserve">• До 2020 року в світі з'явиться 70 млн </w:t>
      </w:r>
      <w:proofErr w:type="spellStart"/>
      <w:r>
        <w:t>геймерів</w:t>
      </w:r>
      <w:proofErr w:type="spellEnd"/>
      <w:r>
        <w:t>, які використовують технології віртуальної реальності. До 2025 року їх число зросте до 216 млн.</w:t>
      </w:r>
    </w:p>
    <w:p w:rsidR="005125B1" w:rsidRDefault="005125B1" w:rsidP="003135C6">
      <w:pPr>
        <w:jc w:val="left"/>
      </w:pPr>
      <w:r>
        <w:t>• Згідно з підрахунками, користувачі будуть купувати в середньому 2,5 гри (після же це число знизиться до однієї).</w:t>
      </w:r>
    </w:p>
    <w:p w:rsidR="005125B1" w:rsidRDefault="005125B1" w:rsidP="003135C6">
      <w:pPr>
        <w:jc w:val="left"/>
      </w:pPr>
      <w:r>
        <w:t>• Ціна гри для віртуальної реальності не повинна перевищувати середню вартість - $ 60.</w:t>
      </w:r>
    </w:p>
    <w:p w:rsidR="004512EC" w:rsidRPr="004512EC" w:rsidRDefault="005125B1" w:rsidP="003135C6">
      <w:pPr>
        <w:jc w:val="left"/>
      </w:pPr>
      <w:r>
        <w:t>Проблема. На даний момент всі відомі шоломи віртуальної реальності (</w:t>
      </w:r>
      <w:proofErr w:type="spellStart"/>
      <w:r w:rsidRPr="003135C6">
        <w:rPr>
          <w:i/>
        </w:rPr>
        <w:t>Oculus</w:t>
      </w:r>
      <w:proofErr w:type="spellEnd"/>
      <w:r w:rsidRPr="003135C6">
        <w:rPr>
          <w:i/>
        </w:rPr>
        <w:t xml:space="preserve"> </w:t>
      </w:r>
      <w:proofErr w:type="spellStart"/>
      <w:r w:rsidRPr="003135C6">
        <w:rPr>
          <w:i/>
        </w:rPr>
        <w:t>Rift</w:t>
      </w:r>
      <w:proofErr w:type="spellEnd"/>
      <w:r w:rsidRPr="003135C6">
        <w:rPr>
          <w:i/>
        </w:rPr>
        <w:t xml:space="preserve">, HTC </w:t>
      </w:r>
      <w:proofErr w:type="spellStart"/>
      <w:r w:rsidRPr="003135C6">
        <w:rPr>
          <w:i/>
        </w:rPr>
        <w:t>Vive</w:t>
      </w:r>
      <w:proofErr w:type="spellEnd"/>
      <w:r w:rsidRPr="003135C6">
        <w:rPr>
          <w:i/>
        </w:rPr>
        <w:t>, PSVR</w:t>
      </w:r>
      <w:r>
        <w:t xml:space="preserve">) вимагають обов'язкового </w:t>
      </w:r>
      <w:proofErr w:type="spellStart"/>
      <w:r>
        <w:t>проводового</w:t>
      </w:r>
      <w:proofErr w:type="spellEnd"/>
      <w:r>
        <w:t xml:space="preserve"> підключення до ігрового ПК або консолі. </w:t>
      </w:r>
      <w:r w:rsidR="003135C6">
        <w:rPr>
          <w:lang w:val="ru-RU"/>
        </w:rPr>
        <w:t xml:space="preserve">А сам шлем не </w:t>
      </w:r>
      <w:proofErr w:type="spellStart"/>
      <w:r w:rsidR="003135C6">
        <w:rPr>
          <w:lang w:val="ru-RU"/>
        </w:rPr>
        <w:t>здатен</w:t>
      </w:r>
      <w:proofErr w:type="spellEnd"/>
      <w:r w:rsidR="003135C6">
        <w:rPr>
          <w:lang w:val="ru-RU"/>
        </w:rPr>
        <w:t xml:space="preserve"> </w:t>
      </w:r>
      <w:proofErr w:type="spellStart"/>
      <w:r w:rsidR="003135C6">
        <w:rPr>
          <w:lang w:val="ru-RU"/>
        </w:rPr>
        <w:t>передати</w:t>
      </w:r>
      <w:proofErr w:type="spellEnd"/>
      <w:r w:rsidR="003135C6">
        <w:rPr>
          <w:lang w:val="ru-RU"/>
        </w:rPr>
        <w:t xml:space="preserve"> </w:t>
      </w:r>
      <w:proofErr w:type="spellStart"/>
      <w:r w:rsidR="003135C6">
        <w:rPr>
          <w:lang w:val="ru-RU"/>
        </w:rPr>
        <w:t>відчуння</w:t>
      </w:r>
      <w:proofErr w:type="spellEnd"/>
      <w:r w:rsidR="003135C6">
        <w:rPr>
          <w:lang w:val="ru-RU"/>
        </w:rPr>
        <w:t xml:space="preserve"> для </w:t>
      </w:r>
      <w:r>
        <w:t xml:space="preserve">повноцінного занурення у віртуальну реальність. </w:t>
      </w:r>
    </w:p>
    <w:sectPr w:rsidR="004512EC" w:rsidRPr="0045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2278"/>
    <w:multiLevelType w:val="hybridMultilevel"/>
    <w:tmpl w:val="107CD406"/>
    <w:lvl w:ilvl="0" w:tplc="6ABE8C8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0B66C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C6555E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EE2FC2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80611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040280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B69E4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C2B2F4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E4BCD8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EC"/>
    <w:rsid w:val="0003086C"/>
    <w:rsid w:val="000C548E"/>
    <w:rsid w:val="003135C6"/>
    <w:rsid w:val="004512EC"/>
    <w:rsid w:val="005125B1"/>
    <w:rsid w:val="007B35FC"/>
    <w:rsid w:val="0098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4841"/>
  <w15:chartTrackingRefBased/>
  <w15:docId w15:val="{04751372-A814-4C53-AC64-E63AB6BE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2EC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lang w:val="uk-UA"/>
      <w14:ligatures w14:val="standard"/>
    </w:rPr>
  </w:style>
  <w:style w:type="paragraph" w:styleId="1">
    <w:name w:val="heading 1"/>
    <w:basedOn w:val="a"/>
    <w:link w:val="10"/>
    <w:uiPriority w:val="9"/>
    <w:qFormat/>
    <w:rsid w:val="004512EC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2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512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customStyle="1" w:styleId="TableGrid">
    <w:name w:val="TableGrid"/>
    <w:rsid w:val="005125B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2017-06-12T09:33:00Z</dcterms:created>
  <dcterms:modified xsi:type="dcterms:W3CDTF">2017-06-12T10:12:00Z</dcterms:modified>
</cp:coreProperties>
</file>