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Narrow Margins</w:t>
      </w:r>
    </w:p>
    <w:p>
      <w:r>
        <w:t xml:space="preserve">First section uses 720 twip margins.</w:t>
      </w:r>
    </w:p>
    <w:p>
      <w:pPr>
        <w:sectPr xmlns:r="http://schemas.openxmlformats.org/officeDocument/2006/relationships">
          <w:pgSz w:w="12240" w:h="15840"/>
          <w:pgMar w:top="720" w:right="720" w:bottom="720" w:left="720"/>
        </w:sectPr>
      </w:pPr>
      <w:r>
        <w:t xml:space="preserve">Section break follows.</w:t>
      </w:r>
    </w:p>
    <w:p>
      <w:pPr>
        <w:pStyle w:val="Heading1"/>
      </w:pPr>
      <w:r>
        <w:rPr>
          <w:b/>
        </w:rPr>
        <w:t xml:space="preserve">Wide Margins</w:t>
      </w:r>
    </w:p>
    <w:p>
      <w:r>
        <w:t xml:space="preserve">Second section uses 2160 twip margins.</w:t>
      </w:r>
    </w:p>
    <w:sectPr xmlns:r="http://schemas.openxmlformats.org/officeDocument/2006/relationships">
      <w:pgSz w:w="12240" w:h="15840"/>
      <w:pgMar w:top="2160" w:right="2160" w:bottom="2160" w:left="21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