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Headers and Footers</w:t>
      </w:r>
    </w:p>
    <w:p>
      <w:r>
        <w:t xml:space="preserve">sectPr references header1.xml and footer1.xml via relationships.</w:t>
      </w:r>
    </w:p>
    <w:p>
      <w:r>
        <w:t xml:space="preserve">Body paragraph under the header band.</w:t>
      </w:r>
    </w:p>
    <w:sectPr xmlns:r="http://schemas.openxmlformats.org/officeDocument/2006/relationships">
      <w:headerReference w:type="default" r:id="rId10"/>
      <w:footerReference w:type="default" r:id="rId11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888888"/>
      </w:rPr>
      <w:t xml:space="preserve">Oracle harness footer  -  page sample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i/>
        <w:sz w:val="18"/>
        <w:color w:val="666666"/>
      </w:rPr>
      <w:t xml:space="preserve">Acme Corp -- 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10" Type="http://schemas.openxmlformats.org/officeDocument/2006/relationships/header" Target="header1.xml"/>
  <Relationship Id="rId11" Type="http://schemas.openxmlformats.org/officeDocument/2006/relationships/footer" Target="footer1.xml"/>
</Relationships>
</file>