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rPr>
        <w:t xml:space="preserve">Northwind Quarterly Business Report</w:t>
      </w:r>
    </w:p>
    <w:p>
      <w:pPr>
        <w:jc w:val="center"/>
      </w:pPr>
      <w:r>
        <w:rPr>
          <w:i/>
        </w:rPr>
        <w:t xml:space="preserve">Q2 FY2026  -  Prepared for executive review</w:t>
      </w:r>
    </w:p>
    <w:p>
      <w:pPr>
        <w:pStyle w:val="Heading1"/>
      </w:pPr>
      <w:r>
        <w:rPr>
          <w:b/>
        </w:rPr>
        <w:t xml:space="preserve">1. Executive Summary</w:t>
      </w:r>
    </w:p>
    <w:p>
      <w:r>
        <w:t xml:space="preserve">Revenue </w:t>
      </w:r>
      <w:r>
        <w:rPr>
          <w:b/>
          <w:color w:val="C00000"/>
        </w:rPr>
        <w:t xml:space="preserve">grew 12%</w:t>
      </w:r>
      <w:r>
        <w:t xml:space="preserve"> while operating expenses remained </w:t>
      </w:r>
      <w:r>
        <w:rPr>
          <w:i/>
        </w:rPr>
        <w:t xml:space="preserve">flat</w:t>
      </w:r>
      <w:r>
        <w:t xml:space="preserve">. Customer retention improved across enterprise accounts.</w:t>
      </w:r>
    </w:p>
    <w:p>
      <w:pPr>
        <w:pStyle w:val="Heading1"/>
      </w:pPr>
      <w:r>
        <w:rPr>
          <w:b/>
        </w:rPr>
        <w:t xml:space="preserve">2. Highlights</w:t>
      </w:r>
    </w:p>
    <w:p>
      <w:pPr>
        <w:pStyle w:val="Heading2"/>
      </w:pPr>
      <w:r>
        <w:rPr>
          <w:b/>
        </w:rPr>
        <w:t xml:space="preserve">2.1 Product</w:t>
      </w:r>
    </w:p>
    <w:p>
      <w:pPr>
        <w:numPr>
          <w:ilvl w:val="0"/>
          <w:numId w:val="2"/>
        </w:numPr>
      </w:pPr>
      <w:r>
        <w:t xml:space="preserve">Shipped DOCX viewer milestone</w:t>
      </w:r>
    </w:p>
    <w:p>
      <w:pPr>
        <w:numPr>
          <w:ilvl w:val="0"/>
          <w:numId w:val="2"/>
        </w:numPr>
      </w:pPr>
      <w:r>
        <w:t xml:space="preserve">Expanded fixture coverage</w:t>
      </w:r>
    </w:p>
    <w:p>
      <w:pPr>
        <w:numPr>
          <w:ilvl w:val="0"/>
          <w:numId w:val="2"/>
        </w:numPr>
      </w:pPr>
      <w:r>
        <w:t xml:space="preserve">Oracle harness draft</w:t>
      </w:r>
    </w:p>
    <w:p>
      <w:pPr>
        <w:pStyle w:val="Heading2"/>
      </w:pPr>
      <w:r>
        <w:rPr>
          <w:b/>
        </w:rPr>
        <w:t xml:space="preserve">2.2 Operations</w:t>
      </w:r>
    </w:p>
    <w:p>
      <w:pPr>
        <w:numPr>
          <w:ilvl w:val="0"/>
          <w:numId w:val="1"/>
        </w:numPr>
      </w:pPr>
      <w:r>
        <w:t xml:space="preserve">Hiring</w:t>
      </w:r>
    </w:p>
    <w:p>
      <w:pPr>
        <w:numPr>
          <w:ilvl w:val="1"/>
          <w:numId w:val="1"/>
        </w:numPr>
      </w:pPr>
      <w:r>
        <w:t xml:space="preserve">Engineering</w:t>
      </w:r>
    </w:p>
    <w:p>
      <w:pPr>
        <w:numPr>
          <w:ilvl w:val="1"/>
          <w:numId w:val="1"/>
        </w:numPr>
      </w:pPr>
      <w:r>
        <w:t xml:space="preserve">Design</w:t>
      </w:r>
    </w:p>
    <w:p>
      <w:pPr>
        <w:numPr>
          <w:ilvl w:val="0"/>
          <w:numId w:val="1"/>
        </w:numPr>
      </w:pPr>
      <w:r>
        <w:t xml:space="preserve">Infra upgrades</w:t>
      </w:r>
    </w:p>
    <w:p>
      <w:pPr>
        <w:numPr>
          <w:ilvl w:val="0"/>
          <w:numId w:val="3"/>
        </w:numPr>
      </w:pPr>
      <w:r>
        <w:t xml:space="preserve">Outline priorities</w:t>
      </w:r>
    </w:p>
    <w:p>
      <w:pPr>
        <w:numPr>
          <w:ilvl w:val="1"/>
          <w:numId w:val="3"/>
        </w:numPr>
      </w:pPr>
      <w:r>
        <w:t xml:space="preserve">Layout fidelity</w:t>
      </w:r>
    </w:p>
    <w:p>
      <w:pPr>
        <w:numPr>
          <w:ilvl w:val="2"/>
          <w:numId w:val="3"/>
        </w:numPr>
      </w:pPr>
      <w:r>
        <w:t xml:space="preserve">Visual oracles</w:t>
      </w:r>
    </w:p>
    <w:p>
      <w:pPr>
        <w:pStyle w:val="Heading1"/>
      </w:pPr>
      <w:r>
        <w:rPr>
          <w:b/>
        </w:rPr>
        <w:t xml:space="preserve">3. Metrics Table</w:t>
      </w:r>
    </w:p>
    <w:tbl>
      <w:tblPr>
        <w:tblW w:w="0" w:type="auto"/>
        <w:tblBorders>
          <w:top w:val="single" w:sz="4" w:space="0" w:color="666666"/>
          <w:left w:val="single" w:sz="4" w:space="0" w:color="666666"/>
          <w:bottom w:val="single" w:sz="4" w:space="0" w:color="666666"/>
          <w:right w:val="single" w:sz="4" w:space="0" w:color="666666"/>
          <w:insideH w:val="single" w:sz="4" w:space="0" w:color="AAAAAA"/>
          <w:insideV w:val="single" w:sz="4" w:space="0" w:color="AAAAAA"/>
        </w:tblBorders>
      </w:tblPr>
      <w:tblGrid>
        <w:gridCol w:w="3000"/>
        <w:gridCol w:w="2000"/>
        <w:gridCol w:w="2000"/>
      </w:tblGrid>
      <w:tr>
        <w:tc>
          <w:tcPr>
            <w:shd w:val="clear" w:color="auto" w:fill="D9E2F3"/>
          </w:tcPr>
          <w:p>
            <w:r>
              <w:rPr>
                <w:b/>
              </w:rPr>
              <w:t xml:space="preserve">Metric</w:t>
            </w:r>
          </w:p>
        </w:tc>
        <w:tc>
          <w:tcPr>
            <w:shd w:val="clear" w:color="auto" w:fill="D9E2F3"/>
          </w:tcPr>
          <w:p>
            <w:r>
              <w:rPr>
                <w:b/>
              </w:rPr>
              <w:t xml:space="preserve">Q1</w:t>
            </w:r>
          </w:p>
        </w:tc>
        <w:tc>
          <w:tcPr>
            <w:shd w:val="clear" w:color="auto" w:fill="D9E2F3"/>
          </w:tcPr>
          <w:p>
            <w:r>
              <w:rPr>
                <w:b/>
              </w:rPr>
              <w:t xml:space="preserve">Q2</w:t>
            </w:r>
          </w:p>
        </w:tc>
      </w:tr>
      <w:tr>
        <w:tc>
          <w:p>
            <w:r>
              <w:t xml:space="preserve">ARR ($M)</w:t>
            </w:r>
          </w:p>
        </w:tc>
        <w:tc>
          <w:p>
            <w:r>
              <w:t xml:space="preserve">12.4</w:t>
            </w:r>
          </w:p>
        </w:tc>
        <w:tc>
          <w:p>
            <w:r>
              <w:t xml:space="preserve">13.9</w:t>
            </w:r>
          </w:p>
        </w:tc>
      </w:tr>
      <w:tr>
        <w:tc>
          <w:p>
            <w:r>
              <w:t xml:space="preserve">NPS</w:t>
            </w:r>
          </w:p>
        </w:tc>
        <w:tc>
          <w:p>
            <w:r>
              <w:t xml:space="preserve">42</w:t>
            </w:r>
          </w:p>
        </w:tc>
        <w:tc>
          <w:p>
            <w:r>
              <w:t xml:space="preserve">48</w:t>
            </w:r>
          </w:p>
        </w:tc>
      </w:tr>
      <w:tr>
        <w:tc>
          <w:p>
            <w:r>
              <w:t xml:space="preserve">Support tickets</w:t>
            </w:r>
          </w:p>
        </w:tc>
        <w:tc>
          <w:p>
            <w:r>
              <w:t xml:space="preserve">910</w:t>
            </w:r>
          </w:p>
        </w:tc>
        <w:tc>
          <w:p>
            <w:r>
              <w:t xml:space="preserve">860</w:t>
            </w:r>
          </w:p>
        </w:tc>
      </w:tr>
    </w:tbl>
    <w:p>
      <w:pPr>
        <w:pStyle w:val="Heading1"/>
      </w:pPr>
      <w:r>
        <w:rPr>
          <w:b/>
        </w:rPr>
        <w:t xml:space="preserve">4. Product Snapshot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3657600" cy="1828800"/>
            <a:graphic>
              <a:graphicData uri="http://schemas.openxmlformats.org/drawingml/2006/picture">
                <pic:pic>
                  <pic:blipFill>
                    <a:blip r:embed="rId20"/>
                  </pic:blipFill>
                </pic:pic>
              </a:graphicData>
            </a:graphic>
          </wp:inline>
        </w:drawing>
      </w:r>
    </w:p>
    <w:p>
      <w:pPr>
        <w:jc w:val="center"/>
      </w:pPr>
      <w:r>
        <w:rPr>
          <w:i/>
        </w:rPr>
        <w:t xml:space="preserve">Figure: product engagement chart (placeholder JPEG).</w:t>
      </w:r>
    </w:p>
    <w:p>
      <w:r>
        <w:t xml:space="preserve">(1)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(3)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(4)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(5)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(6)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(7)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(8)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(9)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(10)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br w:type="page"/>
      </w:r>
    </w:p>
    <w:p>
      <w:pPr>
        <w:pStyle w:val="Heading1"/>
      </w:pPr>
      <w:r>
        <w:rPr>
          <w:b/>
        </w:rPr>
        <w:t xml:space="preserve">5. Deep Dive</w:t>
      </w:r>
    </w:p>
    <w:p>
      <w:r>
        <w:t xml:space="preserve">(1)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(3)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(4)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(5)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(6)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(7)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(8)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(9)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(10)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(11)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(12)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pPr>
        <w:sectPr xmlns:r="http://schemas.openxmlformats.org/officeDocument/2006/relationships">
          <w:headerReference w:type="default" r:id="rId10"/>
          <w:footerReference w:type="default" r:id="rId11"/>
          <w:pgSz w:w="12240" w:h="15840"/>
          <w:pgMar w:top="1440" w:right="1440" w:bottom="1440" w:left="1440"/>
        </w:sectPr>
      </w:pPr>
      <w:r>
        <w:t xml:space="preserve">End of portrait deep-dive section.</w:t>
      </w:r>
    </w:p>
    <w:p>
      <w:pPr>
        <w:pStyle w:val="Heading1"/>
      </w:pPr>
      <w:r>
        <w:rPr>
          <w:b/>
        </w:rPr>
        <w:t xml:space="preserve">6. Landscape Appendix</w:t>
      </w:r>
    </w:p>
    <w:p>
      <w:r>
        <w:t xml:space="preserve">Wide appendix section for charts that need landscape orientation.</w:t>
      </w:r>
    </w:p>
    <w:tbl>
      <w:tblPr>
        <w:tblW w:w="0" w:type="auto"/>
        <w:tblBorders>
          <w:top w:val="single" w:sz="4" w:space="0" w:color="666666"/>
          <w:left w:val="single" w:sz="4" w:space="0" w:color="666666"/>
          <w:bottom w:val="single" w:sz="4" w:space="0" w:color="666666"/>
          <w:right w:val="single" w:sz="4" w:space="0" w:color="666666"/>
          <w:insideH w:val="single" w:sz="4" w:space="0" w:color="AAAAAA"/>
          <w:insideV w:val="single" w:sz="4" w:space="0" w:color="AAAAAA"/>
        </w:tblBorders>
      </w:tblPr>
      <w:tblGrid>
        <w:gridCol w:w="2200"/>
        <w:gridCol w:w="2200"/>
        <w:gridCol w:w="2200"/>
        <w:gridCol w:w="2200"/>
      </w:tblGrid>
      <w:tr>
        <w:tc>
          <w:p>
            <w:r>
              <w:rPr>
                <w:b/>
              </w:rPr>
              <w:t xml:space="preserve">Region</w:t>
            </w:r>
          </w:p>
        </w:tc>
        <w:tc>
          <w:p>
            <w:r>
              <w:rPr>
                <w:b/>
              </w:rPr>
              <w:t xml:space="preserve">Growth</w:t>
            </w:r>
          </w:p>
        </w:tc>
        <w:tc>
          <w:p>
            <w:r>
              <w:rPr>
                <w:b/>
              </w:rPr>
              <w:t xml:space="preserve">Owner</w:t>
            </w:r>
          </w:p>
        </w:tc>
        <w:tc>
          <w:p>
            <w:r>
              <w:rPr>
                <w:b/>
              </w:rPr>
              <w:t xml:space="preserve">Status</w:t>
            </w:r>
          </w:p>
        </w:tc>
      </w:tr>
      <w:tr>
        <w:tc>
          <w:p>
            <w:r>
              <w:t xml:space="preserve">AMER</w:t>
            </w:r>
          </w:p>
        </w:tc>
        <w:tc>
          <w:p>
            <w:r>
              <w:t xml:space="preserve">+14%</w:t>
            </w:r>
          </w:p>
        </w:tc>
        <w:tc>
          <w:p>
            <w:r>
              <w:t xml:space="preserve">Lee</w:t>
            </w:r>
          </w:p>
        </w:tc>
        <w:tc>
          <w:p>
            <w:r>
              <w:t xml:space="preserve">On track</w:t>
            </w:r>
          </w:p>
        </w:tc>
      </w:tr>
      <w:tr>
        <w:tc>
          <w:p>
            <w:r>
              <w:t xml:space="preserve">EMEA</w:t>
            </w:r>
          </w:p>
        </w:tc>
        <w:tc>
          <w:p>
            <w:r>
              <w:t xml:space="preserve">+9%</w:t>
            </w:r>
          </w:p>
        </w:tc>
        <w:tc>
          <w:p>
            <w:r>
              <w:t xml:space="preserve">Novak</w:t>
            </w:r>
          </w:p>
        </w:tc>
        <w:tc>
          <w:p>
            <w:r>
              <w:t xml:space="preserve">Watch</w:t>
            </w:r>
          </w:p>
        </w:tc>
      </w:tr>
      <w:tr>
        <w:tc>
          <w:p>
            <w:r>
              <w:t xml:space="preserve">APAC</w:t>
            </w:r>
          </w:p>
        </w:tc>
        <w:tc>
          <w:p>
            <w:r>
              <w:t xml:space="preserve">+18%</w:t>
            </w:r>
          </w:p>
        </w:tc>
        <w:tc>
          <w:p>
            <w:r>
              <w:t xml:space="preserve">Chen</w:t>
            </w:r>
          </w:p>
        </w:tc>
        <w:tc>
          <w:p>
            <w:r>
              <w:t xml:space="preserve">On track</w:t>
            </w:r>
          </w:p>
        </w:tc>
      </w:tr>
    </w:tbl>
    <w:p>
      <w:r>
        <w:t xml:space="preserve">(1)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(3)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(4)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(5)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(6)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sectPr xmlns:r="http://schemas.openxmlformats.org/officeDocument/2006/relationships">
      <w:headerReference w:type="default" r:id="rId10"/>
      <w:footerReference w:type="default" r:id="rId11"/>
      <w:pgSz w:w="15840" w:h="12240" w:orient="landscape"/>
      <w:pgMar w:top="1440" w:right="1440" w:bottom="1440" w:left="1440"/>
    </w:sectPr>
  </w:body>
</w:document>
</file>

<file path=word/footer1.xml><?xml version="1.0" encoding="utf-8"?>
<w:ftr xmlns:w="http://schemas.openxmlformats.org/wordprocessingml/2006/main">
  <w:p>
    <w:pPr>
      <w:jc w:val="center"/>
    </w:pPr>
    <w:r>
      <w:rPr>
        <w:sz w:val="16"/>
        <w:color w:val="666666"/>
      </w:rPr>
      <w:t xml:space="preserve">Internal use only</w:t>
    </w:r>
  </w:p>
</w:ftr>
</file>

<file path=word/header1.xml><?xml version="1.0" encoding="utf-8"?>
<w:hdr xmlns:w="http://schemas.openxmlformats.org/wordprocessingml/2006/main">
  <w:p>
    <w:pPr>
      <w:jc w:val="left"/>
    </w:pPr>
    <w:r>
      <w:rPr>
        <w:b/>
        <w:sz w:val="18"/>
        <w:color w:val="1F4E79"/>
      </w:rPr>
      <w:t xml:space="preserve">Northwind Quarterly Report</w:t>
    </w:r>
  </w:p>
</w:hdr>
</file>

<file path=word/numbering.xml><?xml version="1.0" encoding="utf-8"?>
<w:numbering xmlns:w="http://schemas.openxmlformats.org/wordprocessingml/2006/main">
  <w:abstractNum w:abstractNumId="0">
    <w:lvl w:ilvl="0">
      <w:start w:val="1"/>
      <w:numFmt w:val="bullet"/>
      <w:lvlText w:val="-"/>
      <w:pPr>
        <w:ind w:left="720" w:hanging="360"/>
      </w:pPr>
    </w:lvl>
    <w:lvl w:ilvl="1">
      <w:start w:val="1"/>
      <w:numFmt w:val="bullet"/>
      <w:lvlText w:val="-"/>
      <w:pPr>
        <w:ind w:left="1440" w:hanging="360"/>
      </w:pPr>
    </w:lvl>
  </w:abstractNum>
  <w:abstractNum w:abstractNumId="1">
    <w:lvl w:ilvl="0">
      <w:start w:val="1"/>
      <w:numFmt w:val="decimal"/>
      <w:lvlText w:val="%1."/>
      <w:pPr>
        <w:ind w:left="720" w:hanging="360"/>
      </w:pPr>
    </w:lvl>
  </w:abstractNum>
  <w:abstractNum w:abstractNumId="2">
    <w:lvl w:ilvl="0">
      <w:start w:val="1"/>
      <w:numFmt w:val="decimal"/>
      <w:lvlText w:val="%1."/>
      <w:pPr>
        <w:ind w:left="720" w:hanging="360"/>
      </w:pPr>
    </w:lvl>
    <w:lvl w:ilvl="1">
      <w:start w:val="1"/>
      <w:numFmt w:val="lowerLetter"/>
      <w:lvlText w:val="%2)"/>
      <w:pPr>
        <w:ind w:left="1440" w:hanging="360"/>
      </w:pPr>
    </w:lvl>
    <w:lvl w:ilvl="2">
      <w:start w:val="1"/>
      <w:numFmt w:val="lowerRoman"/>
      <w:lvlText w:val="%3."/>
      <w:pPr>
        <w:ind w:left="2160" w:hanging="360"/>
      </w:p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qFormat/>
  </w:style>
  <w:style w:type="paragraph" w:styleId="Heading1">
    <w:name w:val="heading 1"/>
    <w:basedOn w:val="Normal"/>
    <w:qFormat/>
    <w:pPr>
      <w:spacing w:before="240" w:after="120"/>
    </w:pPr>
    <w:rPr>
      <w:b/>
      <w:sz w:val="32"/>
      <w:color w:val="1F4E79"/>
    </w:rPr>
  </w:style>
  <w:style w:type="paragraph" w:styleId="Heading2">
    <w:name w:val="heading 2"/>
    <w:basedOn w:val="Normal"/>
    <w:qFormat/>
    <w:pPr>
      <w:spacing w:before="200" w:after="100"/>
    </w:pPr>
    <w:rPr>
      <w:b/>
      <w:sz w:val="26"/>
      <w:color w:val="2E75B6"/>
    </w:rPr>
  </w:style>
  <w:style w:type="paragraph" w:styleId="Title">
    <w:name w:val="Title"/>
    <w:basedOn w:val="Normal"/>
    <w:qFormat/>
    <w:pPr>
      <w:jc w:val="center"/>
      <w:spacing w:after="200"/>
    </w:pPr>
    <w:rPr>
      <w:b/>
      <w:sz w:val="40"/>
      <w:color w:val="0D1B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header" Target="header1.xml"/>
  <Relationship Id="rId11" Type="http://schemas.openxmlformats.org/officeDocument/2006/relationships/footer" Target="footer1.xml"/>
  <Relationship Id="rId20" Type="http://schemas.openxmlformats.org/officeDocument/2006/relationships/image" Target="media/chart.jpeg"/>
</Relationships>
</file>