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b/>
        </w:rPr>
        <w:t>FACULDADE ANHANGUERA</w:t>
      </w:r>
    </w:p>
    <w:p>
      <w:pPr>
        <w:spacing w:after="120"/>
        <w:ind w:firstLine="0"/>
        <w:jc w:val="center"/>
      </w:pPr>
      <w:r>
        <w:rPr>
          <w:b w:val="0"/>
        </w:rPr>
        <w:t>Tecnologia em Análise e Desenvolvimento de Sistemas</w:t>
      </w:r>
    </w:p>
    <w:p>
      <w:pPr>
        <w:spacing w:after="120"/>
        <w:ind w:firstLine="0"/>
        <w:jc w:val="center"/>
      </w:pPr>
      <w:r>
        <w:rPr>
          <w:b w:val="0"/>
        </w:rPr>
        <w:t>Projeto Integrado I, II e III</w:t>
      </w:r>
    </w:p>
    <w:p/>
    <w:p/>
    <w:p/>
    <w:p>
      <w:pPr>
        <w:spacing w:after="120"/>
        <w:ind w:firstLine="0"/>
        <w:jc w:val="center"/>
      </w:pPr>
      <w:r>
        <w:rPr>
          <w:b/>
        </w:rPr>
        <w:t>Gabriel Rodrigues do Prado - 3º semestre</w:t>
      </w:r>
    </w:p>
    <w:p>
      <w:pPr>
        <w:spacing w:after="120"/>
        <w:ind w:firstLine="0"/>
        <w:jc w:val="center"/>
      </w:pPr>
      <w:r>
        <w:rPr>
          <w:b/>
        </w:rPr>
        <w:t>Rafaela Rodrigues Oliveira - 1º semestre</w:t>
      </w:r>
    </w:p>
    <w:p/>
    <w:p/>
    <w:p/>
    <w:p/>
    <w:p>
      <w:pPr>
        <w:pStyle w:val="Title"/>
      </w:pPr>
      <w:r>
        <w:t>Brasa Burguer Management</w:t>
      </w:r>
    </w:p>
    <w:p>
      <w:pPr>
        <w:spacing w:after="120"/>
        <w:ind w:firstLine="0"/>
        <w:jc w:val="center"/>
      </w:pPr>
      <w:r>
        <w:rPr>
          <w:b/>
        </w:rPr>
        <w:t>Proposta e modelagem integrada de um sistema web de gestão multiunidade para food service</w:t>
      </w:r>
    </w:p>
    <w:p/>
    <w:p/>
    <w:p>
      <w:pPr>
        <w:spacing w:after="120"/>
        <w:ind w:firstLine="709"/>
        <w:jc w:val="both"/>
      </w:pPr>
      <w:r>
        <w:rPr>
          <w:b w:val="0"/>
        </w:rPr>
        <w:t>Trabalho parcial apresentado ao Projeto Integrado I, II e III, referente à Entrega 1 do período letivo 2026/2. Docente: Prof. Gilberto Falco Netto.</w:t>
      </w:r>
    </w:p>
    <w:p/>
    <w:p/>
    <w:p/>
    <w:p>
      <w:pPr>
        <w:spacing w:after="120"/>
        <w:ind w:firstLine="0"/>
        <w:jc w:val="center"/>
      </w:pPr>
      <w:r>
        <w:rPr>
          <w:b w:val="0"/>
        </w:rPr>
        <w:t>Jundiaí</w:t>
        <w:br/>
        <w:t>13 de setembro de 2026</w:t>
      </w:r>
    </w:p>
    <w:p>
      <w:pPr>
        <w:pStyle w:val="Heading1"/>
        <w:pageBreakBefore/>
      </w:pPr>
      <w:r>
        <w:t>Sumário</w:t>
      </w:r>
    </w:p>
    <w:p>
      <w:pPr>
        <w:tabs>
          <w:tab w:pos="8504" w:val="left"/>
        </w:tabs>
        <w:spacing w:after="240"/>
      </w:pPr>
      <w:r>
        <w:t>1 Introdução e objetivos</w:t>
        <w:tab/>
        <w:t>3</w:t>
      </w:r>
    </w:p>
    <w:p>
      <w:pPr>
        <w:tabs>
          <w:tab w:pos="8504" w:val="left"/>
        </w:tabs>
        <w:spacing w:after="240"/>
      </w:pPr>
      <w:r>
        <w:t>2 Escopo e continuidade</w:t>
        <w:tab/>
        <w:t>4</w:t>
      </w:r>
    </w:p>
    <w:p>
      <w:pPr>
        <w:tabs>
          <w:tab w:pos="8504" w:val="left"/>
        </w:tabs>
        <w:spacing w:after="240"/>
      </w:pPr>
      <w:r>
        <w:t>3 Arquitetura e tecnologias</w:t>
        <w:tab/>
        <w:t>5</w:t>
      </w:r>
    </w:p>
    <w:p>
      <w:pPr>
        <w:tabs>
          <w:tab w:pos="8504" w:val="left"/>
        </w:tabs>
        <w:spacing w:after="240"/>
      </w:pPr>
      <w:r>
        <w:t>4 Matriz de integração curricular</w:t>
        <w:tab/>
        <w:t>6</w:t>
      </w:r>
    </w:p>
    <w:p>
      <w:pPr>
        <w:tabs>
          <w:tab w:pos="8504" w:val="left"/>
        </w:tabs>
        <w:spacing w:after="240"/>
      </w:pPr>
      <w:r>
        <w:t>5 Modelagem algorítmica</w:t>
        <w:tab/>
        <w:t>7</w:t>
      </w:r>
    </w:p>
    <w:p>
      <w:pPr>
        <w:tabs>
          <w:tab w:pos="8504" w:val="left"/>
        </w:tabs>
        <w:spacing w:after="240"/>
      </w:pPr>
      <w:r>
        <w:t>6 Modelagem matemática</w:t>
        <w:tab/>
        <w:t>8</w:t>
      </w:r>
    </w:p>
    <w:p>
      <w:pPr>
        <w:tabs>
          <w:tab w:pos="8504" w:val="left"/>
        </w:tabs>
        <w:spacing w:after="240"/>
      </w:pPr>
      <w:r>
        <w:t>7 Análise orientada a objetos</w:t>
        <w:tab/>
        <w:t>9</w:t>
      </w:r>
    </w:p>
    <w:p>
      <w:pPr>
        <w:tabs>
          <w:tab w:pos="8504" w:val="left"/>
        </w:tabs>
        <w:spacing w:after="240"/>
      </w:pPr>
      <w:r>
        <w:t>8 Banco de dados e camada analítica</w:t>
        <w:tab/>
        <w:t>10</w:t>
      </w:r>
    </w:p>
    <w:p>
      <w:pPr>
        <w:tabs>
          <w:tab w:pos="8504" w:val="left"/>
        </w:tabs>
        <w:spacing w:after="240"/>
      </w:pPr>
      <w:r>
        <w:t>9 Computação em nuvem e segurança</w:t>
        <w:tab/>
        <w:t>11</w:t>
      </w:r>
    </w:p>
    <w:p>
      <w:pPr>
        <w:tabs>
          <w:tab w:pos="8504" w:val="left"/>
        </w:tabs>
        <w:spacing w:after="240"/>
      </w:pPr>
      <w:r>
        <w:t>10 Plano de implementação e validação</w:t>
        <w:tab/>
        <w:t>12</w:t>
      </w:r>
    </w:p>
    <w:p>
      <w:pPr>
        <w:tabs>
          <w:tab w:pos="8504" w:val="left"/>
        </w:tabs>
        <w:spacing w:after="240"/>
      </w:pPr>
      <w:r>
        <w:t>11 Repositório e organização da equipe</w:t>
        <w:tab/>
        <w:t>13</w:t>
      </w:r>
    </w:p>
    <w:p>
      <w:pPr>
        <w:tabs>
          <w:tab w:pos="8504" w:val="left"/>
        </w:tabs>
        <w:spacing w:after="240"/>
      </w:pPr>
      <w:r>
        <w:t>12 Perspectivas e considerações finais</w:t>
        <w:tab/>
        <w:t>14</w:t>
      </w:r>
    </w:p>
    <w:p>
      <w:pPr>
        <w:tabs>
          <w:tab w:pos="8504" w:val="left"/>
        </w:tabs>
        <w:spacing w:after="240"/>
      </w:pPr>
      <w:r>
        <w:t>Referências</w:t>
        <w:tab/>
        <w:t>15</w:t>
      </w:r>
    </w:p>
    <w:p>
      <w:pPr>
        <w:spacing w:after="120"/>
        <w:ind w:firstLine="709"/>
        <w:jc w:val="both"/>
      </w:pPr>
      <w:r>
        <w:rPr>
          <w:b w:val="0"/>
        </w:rPr>
        <w:t>Curso: Tecnologia em Análise e Desenvolvimento de Sistemas. Disciplina integradora: Projeto Integrado I, II e III. Período letivo: 2026/2. Integrantes: Gabriel Rodrigues do Prado, 3º semestre, e Rafaela Rodrigues Oliveira, 1º semestre.</w:t>
      </w:r>
    </w:p>
    <w:p>
      <w:pPr>
        <w:pStyle w:val="Heading1"/>
        <w:pageBreakBefore/>
      </w:pPr>
      <w:r>
        <w:t>1 Introdução e objetivos</w:t>
      </w:r>
    </w:p>
    <w:p>
      <w:pPr>
        <w:spacing w:after="120"/>
        <w:ind w:firstLine="709"/>
        <w:jc w:val="both"/>
      </w:pPr>
      <w:r>
        <w:rPr>
          <w:b w:val="0"/>
        </w:rPr>
        <w:t>O Brasa Burguer Management é um projeto acadêmico de sistema web para gestão de hamburguerias e pequenas redes de food service. A proposta conecta clientes, produtos, pedidos, fichas técnicas, estoque e indicadores em uma operação multiunidade. O caso de uso considera uma rede fictícia com as unidades Japy, Retiro e Eloy, em Jundiaí, e permite analisar tanto uma loja quanto o conjunto da operação.</w:t>
      </w:r>
    </w:p>
    <w:p>
      <w:pPr>
        <w:spacing w:after="120"/>
        <w:ind w:firstLine="709"/>
        <w:jc w:val="both"/>
      </w:pPr>
      <w:r>
        <w:rPr>
          <w:b w:val="0"/>
        </w:rPr>
        <w:t>O problema tratado é a fragmentação das informações entre atendimento, produção e gestão. Um pedido contém dados úteis sobre o cliente, os produtos escolhidos, o canal de venda, a unidade e os custos envolvidos. Quando esses dados ficam em controles separados, o operador repete cadastros e o gestor encontra dificuldades para recuperar históricos e conferir resultados.</w:t>
      </w:r>
    </w:p>
    <w:p>
      <w:pPr>
        <w:spacing w:after="120"/>
        <w:ind w:firstLine="709"/>
        <w:jc w:val="both"/>
      </w:pPr>
      <w:r>
        <w:rPr>
          <w:b w:val="0"/>
        </w:rPr>
        <w:t>Os interessados são operadores de atendimento, gerentes, responsáveis por estoque e administradores da rede. A relevância acadêmica está na aplicação de programação e modelagem a um domínio compreensível, no qual uma ação comercial produz efeitos operacionais e informações para análise.</w:t>
      </w:r>
    </w:p>
    <w:p>
      <w:pPr>
        <w:pStyle w:val="Heading2"/>
      </w:pPr>
      <w:r>
        <w:t>1.1 Objetivo geral</w:t>
      </w:r>
    </w:p>
    <w:p>
      <w:pPr>
        <w:spacing w:after="120"/>
        <w:ind w:firstLine="709"/>
        <w:jc w:val="both"/>
      </w:pPr>
      <w:r>
        <w:rPr>
          <w:b w:val="0"/>
        </w:rPr>
        <w:t>Desenvolver e documentar a evolução de uma aplicação web de gestão multiunidade, relacionando o registro de pedidos ao consumo de ingredientes e aos indicadores gerenciais, com interface em React e serviços de dados e autenticação no Supabase.</w:t>
      </w:r>
    </w:p>
    <w:p>
      <w:pPr>
        <w:pStyle w:val="Heading2"/>
      </w:pPr>
      <w:r>
        <w:t>1.2 Objetivos específicos</w:t>
      </w:r>
    </w:p>
    <w:p>
      <w:pPr>
        <w:spacing w:after="120"/>
        <w:ind w:firstLine="0"/>
        <w:jc w:val="both"/>
      </w:pPr>
      <w:r>
        <w:rPr>
          <w:b w:val="0"/>
        </w:rPr>
        <w:t>• Organizar o fluxo de cadastro e identificação do cliente durante a venda.</w:t>
      </w:r>
    </w:p>
    <w:p>
      <w:pPr>
        <w:spacing w:after="120"/>
        <w:ind w:firstLine="0"/>
        <w:jc w:val="both"/>
      </w:pPr>
      <w:r>
        <w:rPr>
          <w:b w:val="0"/>
        </w:rPr>
        <w:t>• Relacionar produtos, variações, fichas técnicas e consumo por unidade.</w:t>
      </w:r>
    </w:p>
    <w:p>
      <w:pPr>
        <w:spacing w:after="120"/>
        <w:ind w:firstLine="0"/>
        <w:jc w:val="both"/>
      </w:pPr>
      <w:r>
        <w:rPr>
          <w:b w:val="0"/>
        </w:rPr>
        <w:t>• Explicar e validar os cálculos de custo, CMV, margem e ticket médio.</w:t>
      </w:r>
    </w:p>
    <w:p>
      <w:pPr>
        <w:spacing w:after="120"/>
        <w:ind w:firstLine="0"/>
        <w:jc w:val="both"/>
      </w:pPr>
      <w:r>
        <w:rPr>
          <w:b w:val="0"/>
        </w:rPr>
        <w:t>• Representar o domínio por objetos e decompor as regras em procedimentos verificáveis.</w:t>
      </w:r>
    </w:p>
    <w:p>
      <w:pPr>
        <w:spacing w:after="120"/>
        <w:ind w:firstLine="0"/>
        <w:jc w:val="both"/>
      </w:pPr>
      <w:r>
        <w:rPr>
          <w:b w:val="0"/>
        </w:rPr>
        <w:t>• Formalizar a arquitetura em nuvem, o versionamento e um plano de testes compatível com a Entrega 1.</w:t>
      </w:r>
    </w:p>
    <w:p>
      <w:pPr>
        <w:pStyle w:val="Heading2"/>
      </w:pPr>
      <w:r>
        <w:t>1.3 Método de desenvolvimento</w:t>
      </w:r>
    </w:p>
    <w:p>
      <w:pPr>
        <w:spacing w:after="120"/>
        <w:ind w:firstLine="709"/>
        <w:jc w:val="both"/>
      </w:pPr>
      <w:r>
        <w:rPr>
          <w:b w:val="0"/>
        </w:rPr>
        <w:t>O trabalho adota desenvolvimento incremental: delimitação de uma melhoria, modelagem, implementação, teste e registro da evidência antes da etapa seguinte. A ficha técnica e a apresentação do projeto descrevem o estado funcional. A validação executável deverá vincular essa descrição ao código e às migrações da aplicação.</w:t>
      </w:r>
    </w:p>
    <w:p>
      <w:pPr>
        <w:pStyle w:val="Heading1"/>
        <w:pageBreakBefore/>
      </w:pPr>
      <w:r>
        <w:t>2 Escopo e continuidade</w:t>
      </w:r>
    </w:p>
    <w:p>
      <w:pPr>
        <w:spacing w:after="120"/>
        <w:ind w:firstLine="709"/>
        <w:jc w:val="both"/>
      </w:pPr>
      <w:r>
        <w:rPr>
          <w:b w:val="0"/>
        </w:rPr>
        <w:t>A modalidade é continuidade de um protótipo acadêmico existente. O termo linha de base identifica o estado recebido no início desta revisão. Não se atribui uma funcionalidade a um semestre anterior sem registro que comprove sua data. Para a avaliação de 2026/2, o grupo deverá associar cada incremento aos commits, às decisões e aos artefatos efetivamente produzidos ou revistos.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5102"/>
      </w:tblGrid>
      <w:tr>
        <w:trPr>
          <w:tblHeader w:val="true"/>
          <w:cantSplit/>
        </w:trPr>
        <w:tc>
          <w:tcPr>
            <w:tcW w:type="dxa" w:w="3969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Base anteriormente apresentada</w:t>
            </w:r>
          </w:p>
        </w:tc>
        <w:tc>
          <w:tcPr>
            <w:tcW w:type="dxa" w:w="5102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Estado descrito nos materiais atualizados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Cadastros de clientes e produtos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Perfil do cliente, histórico e cardápio com variações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Tela de pedidos e painel inicial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Kanban, canais, pagamentos e filtros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Entidades relacionais e consultas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Funções, triggers, views e fundação analítica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Aplicação em localhost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React/Vite conectado ao Supabase</w:t>
            </w:r>
          </w:p>
        </w:tc>
      </w:tr>
    </w:tbl>
    <w:p>
      <w:pPr>
        <w:spacing w:after="40"/>
      </w:pPr>
    </w:p>
    <w:p>
      <w:pPr>
        <w:pStyle w:val="Heading2"/>
      </w:pPr>
      <w:r>
        <w:t>2.1 Funcionalidades descritas na versão atual</w:t>
      </w:r>
    </w:p>
    <w:p>
      <w:pPr>
        <w:spacing w:after="120"/>
        <w:ind w:firstLine="709"/>
        <w:jc w:val="both"/>
      </w:pPr>
      <w:r>
        <w:rPr>
          <w:b w:val="0"/>
        </w:rPr>
        <w:t>A apresentação atualizada informa login com sete perfis, gestão de clientes, histórico de pedidos, cardápio, adicionais, fichas técnicas, baixa automática de estoque, indicadores e visão de três lojas. A ficha técnica detalha as tecnologias e automações que sustentam essas funcionalidades. Essa descrição documental não substitui testes de execução e autorização.</w:t>
      </w:r>
    </w:p>
    <w:p>
      <w:pPr>
        <w:pStyle w:val="Heading2"/>
      </w:pPr>
      <w:r>
        <w:t>2.2 Delimitação da Entrega 1</w:t>
      </w:r>
    </w:p>
    <w:p>
      <w:pPr>
        <w:spacing w:after="120"/>
        <w:ind w:firstLine="709"/>
        <w:jc w:val="both"/>
      </w:pPr>
      <w:r>
        <w:rPr>
          <w:b w:val="0"/>
        </w:rPr>
        <w:t>A primeira entrega concentra problema, objetivos, escopo, continuidade, integração curricular, modelagem, plano de implementação e evidência inicial no repositório. A amplitude do produto não exige concluir todos os módulos de um ERP antes da avaliação. O núcleo escolhido para explicação é o pedido e seus efeitos sobre custo e estoque.</w:t>
      </w:r>
    </w:p>
    <w:p>
      <w:pPr>
        <w:pStyle w:val="Heading2"/>
      </w:pPr>
      <w:r>
        <w:t>2.3 Evoluções posteriores</w:t>
      </w:r>
    </w:p>
    <w:p>
      <w:pPr>
        <w:spacing w:after="120"/>
        <w:ind w:firstLine="709"/>
        <w:jc w:val="both"/>
      </w:pPr>
      <w:r>
        <w:rPr>
          <w:b w:val="0"/>
        </w:rPr>
        <w:t>Permanecem como evolução a atualização do custo dos ingredientes a partir de compras reais, o financeiro, a conexão efetiva com Power BI, integrações com marketplaces e meios de pagamento, emissão fiscal, SaaS comercial e recursos de inteligência artificial. O cadastro de fornecedores existente não equivale a um processo completo de compras integrado.</w:t>
      </w:r>
    </w:p>
    <w:p>
      <w:pPr>
        <w:spacing w:after="120"/>
        <w:ind w:firstLine="709"/>
        <w:jc w:val="both"/>
      </w:pPr>
      <w:r>
        <w:rPr>
          <w:b w:val="0"/>
        </w:rPr>
        <w:t>A hospedagem do front-end no Netlify é planejada. A ficha técnica informa que o Git, os testes automatizados e o fluxo de integração e publicação contínuas ainda precisam ser formalizados.</w:t>
      </w:r>
    </w:p>
    <w:p>
      <w:pPr>
        <w:pStyle w:val="Heading1"/>
        <w:pageBreakBefore/>
      </w:pPr>
      <w:r>
        <w:t>3 Arquitetura e tecnologias</w:t>
      </w:r>
    </w:p>
    <w:p>
      <w:pPr>
        <w:spacing w:after="120"/>
        <w:ind w:firstLine="709"/>
        <w:jc w:val="both"/>
      </w:pPr>
      <w:r>
        <w:rPr>
          <w:b w:val="0"/>
        </w:rPr>
        <w:t>A aplicação utiliza Backend as a Service (BaaS). O navegador executa a interface React e acessa o Supabase por uma API REST gerada pelo PostgREST a partir do schema do PostgreSQL. A documentação do Supabase descreve esse acesso direto pelo navegador, com integração ao modelo de permissões do banco (SUPABASE, s.d.a). Não há servidor de aplicação próprio descrito na arquitetura atual.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118"/>
        <w:gridCol w:w="4252"/>
      </w:tblGrid>
      <w:tr>
        <w:trPr>
          <w:tblHeader w:val="true"/>
          <w:cantSplit/>
        </w:trPr>
        <w:tc>
          <w:tcPr>
            <w:tcW w:type="dxa" w:w="1701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3118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4252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Papel no projeto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Interface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React 18 e JSX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Componentes e interação com o usuário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Desenvolvimento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Vite e npm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Servidor local, dependências e build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Estilo e navegação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Tailwind CSS e React Router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Estilo consistente e navegação SPA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Gráficos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Recharts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Representação dos indicadores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API e identidade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PostgREST e Supabase Auth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CRUD, login e sessão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Regras e dados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PostgreSQL, SQL e PL/pgSQL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Tabelas, views, funções e triggers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Automação externa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Python 3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Seeds e simulações de pedidos</w:t>
            </w:r>
          </w:p>
        </w:tc>
      </w:tr>
    </w:tbl>
    <w:p>
      <w:pPr>
        <w:spacing w:after="40"/>
      </w:pPr>
    </w:p>
    <w:p>
      <w:pPr>
        <w:pStyle w:val="Heading2"/>
      </w:pPr>
      <w:r>
        <w:t>3.1 Responsabilidade de cada linguagem</w:t>
      </w:r>
    </w:p>
    <w:p>
      <w:pPr>
        <w:spacing w:after="120"/>
        <w:ind w:firstLine="709"/>
        <w:jc w:val="both"/>
      </w:pPr>
      <w:r>
        <w:rPr>
          <w:b w:val="0"/>
        </w:rPr>
        <w:t>JavaScript/JSX compõe a interface, a lógica de interação e as chamadas à API. SQL define estruturas e consultas; PL/pgSQL permite organizar procedimentos no banco. HTML e CSS aparecem na renderização da interface e no uso de JSX e Tailwind. A divisão em componentes ajuda a organizar estados e fluxo de dados no React (REACT, s.d.).</w:t>
      </w:r>
    </w:p>
    <w:p>
      <w:pPr>
        <w:spacing w:after="120"/>
        <w:ind w:firstLine="709"/>
        <w:jc w:val="both"/>
      </w:pPr>
      <w:r>
        <w:rPr>
          <w:b w:val="0"/>
        </w:rPr>
        <w:t>Python executa scripts independentes, como seed_data.py e seed_cardapio.py, que preparam cardápio e dados de teste. Ele não funciona como uma API intermediária obrigatória entre React e Supabase. Node.js pode participar do ambiente de ferramentas, mas isso não caracteriza um backend próprio em Node.js.</w:t>
      </w:r>
    </w:p>
    <w:p>
      <w:pPr>
        <w:spacing w:after="120"/>
        <w:ind w:firstLine="709"/>
        <w:jc w:val="both"/>
      </w:pPr>
      <w:r>
        <w:rPr>
          <w:b w:val="0"/>
        </w:rPr>
        <w:t>O MySQL mencionado na ficha pertence a um ambiente separado de estudo de SQL analítico. O banco transacional da aplicação é PostgreSQL no Supabase.</w:t>
      </w:r>
    </w:p>
    <w:p>
      <w:pPr>
        <w:pStyle w:val="Heading1"/>
        <w:pageBreakBefore/>
      </w:pPr>
      <w:r>
        <w:t>4 Matriz de integração curricular</w:t>
      </w:r>
    </w:p>
    <w:p>
      <w:pPr>
        <w:spacing w:after="120"/>
        <w:ind w:firstLine="709"/>
        <w:jc w:val="both"/>
      </w:pPr>
      <w:r>
        <w:rPr>
          <w:b w:val="0"/>
        </w:rPr>
        <w:t>O grupo reúne integrantes de semestres diferentes. Gabriel cursa Desenvolvimento em JavaScript, Computação em Nuvem e Análise Orientada a Objetos. A disciplina de algoritmos associada à linguagem C já foi concluída por ele. O projeto demonstra sequência, seleção, repetição e modularização em JavaScript e SQL, sem exigir uma reimplementação em C que não consta da proposta fornecida.</w:t>
      </w:r>
    </w:p>
    <w:p>
      <w:pPr>
        <w:pStyle w:val="Heading2"/>
      </w:pPr>
      <w:r>
        <w:t>4.1 Eixos da rubrica oficial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3005"/>
        <w:gridCol w:w="3402"/>
      </w:tblGrid>
      <w:tr>
        <w:trPr>
          <w:tblHeader w:val="true"/>
          <w:cantSplit/>
        </w:trPr>
        <w:tc>
          <w:tcPr>
            <w:tcW w:type="dxa" w:w="2665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Disciplina exigida</w:t>
            </w:r>
          </w:p>
        </w:tc>
        <w:tc>
          <w:tcPr>
            <w:tcW w:type="dxa" w:w="3005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Conceito aplicado</w:t>
            </w:r>
          </w:p>
        </w:tc>
        <w:tc>
          <w:tcPr>
            <w:tcW w:type="dxa" w:w="3402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Evidência a vincular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Linguagem de Programação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Tipos, funções, eventos e entrada/saída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Componentes React e unidade funcional real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Algoritmos e Programação Estruturada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Sequência, decisão, laços e decomposição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Pseudocódigo e funções/triggers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Matemática Computacional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Somatórios, razões, percentuais e conversões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Cálculos e casos com resultados esperados</w:t>
            </w:r>
          </w:p>
        </w:tc>
      </w:tr>
    </w:tbl>
    <w:p>
      <w:pPr>
        <w:spacing w:after="40"/>
      </w:pPr>
    </w:p>
    <w:p>
      <w:pPr>
        <w:pStyle w:val="Heading2"/>
      </w:pPr>
      <w:r>
        <w:t>4.2 Aprofundamento nas disciplinas atuais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3005"/>
        <w:gridCol w:w="3118"/>
      </w:tblGrid>
      <w:tr>
        <w:trPr>
          <w:tblHeader w:val="true"/>
          <w:cantSplit/>
        </w:trPr>
        <w:tc>
          <w:tcPr>
            <w:tcW w:type="dxa" w:w="2948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Disciplina atual de Gabriel</w:t>
            </w:r>
          </w:p>
        </w:tc>
        <w:tc>
          <w:tcPr>
            <w:tcW w:type="dxa" w:w="3005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Aplicação</w:t>
            </w:r>
          </w:p>
        </w:tc>
        <w:tc>
          <w:tcPr>
            <w:tcW w:type="dxa" w:w="3118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Produto acadêmico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Desenvolvimento em JavaScript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Estado, componentes, validação e chamadas à API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Explicação do fluxo e código correspondente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Computação em Nuvem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BaaS, serviços gerenciados e controle de acesso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Arquitetura e plano de implantação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Análise Orientada a Objetos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Entidades, responsabilidades e relações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Modelo conceitual e caso de uso</w:t>
            </w:r>
          </w:p>
        </w:tc>
      </w:tr>
    </w:tbl>
    <w:p>
      <w:pPr>
        <w:spacing w:after="40"/>
      </w:pPr>
    </w:p>
    <w:p>
      <w:pPr>
        <w:spacing w:after="120"/>
        <w:ind w:firstLine="709"/>
        <w:jc w:val="both"/>
      </w:pPr>
      <w:r>
        <w:rPr>
          <w:b w:val="0"/>
        </w:rPr>
        <w:t>A matriz preserva os três eixos da rubrica e acrescenta as disciplinas atuais. A aceitação dessa adequação curricular cabe ao docente. Para Rafaela, no 1º semestre, a proposta de participação concentra levantamento do problema, fluxo de atendimento, conferência matemática e documentação, sem presumir sua grade completa.</w:t>
      </w:r>
    </w:p>
    <w:p>
      <w:pPr>
        <w:pStyle w:val="Heading1"/>
        <w:pageBreakBefore/>
      </w:pPr>
      <w:r>
        <w:t>5 Modelagem algorítmica</w:t>
      </w:r>
    </w:p>
    <w:p>
      <w:pPr>
        <w:pStyle w:val="Heading2"/>
      </w:pPr>
      <w:r>
        <w:t>5.1 Entrada processamento e saída</w:t>
      </w:r>
    </w:p>
    <w:p>
      <w:pPr>
        <w:spacing w:after="120"/>
        <w:ind w:firstLine="709"/>
        <w:jc w:val="both"/>
      </w:pPr>
      <w:r>
        <w:rPr>
          <w:b w:val="0"/>
        </w:rPr>
        <w:t>O fluxo recebe unidade, cliente, tipo de atendimento, variação do produto, quantidade e adicionais. O processamento verifica os dados, registra a composição do pedido, consulta a ficha técnica e calcula o consumo. A saída é o registro da venda com seus itens e a movimentação correspondente no estoque da loja. O retorno da API informa sucesso ou falha à interface.</w:t>
      </w:r>
    </w:p>
    <w:p>
      <w:pPr>
        <w:pStyle w:val="Heading2"/>
      </w:pPr>
      <w:r>
        <w:t>5.2 Decomposição do problema</w:t>
      </w:r>
    </w:p>
    <w:p>
      <w:pPr>
        <w:spacing w:after="120"/>
        <w:ind w:firstLine="709"/>
        <w:jc w:val="both"/>
      </w:pPr>
      <w:r>
        <w:rPr>
          <w:b w:val="0"/>
        </w:rPr>
        <w:t>A interface identifica o cliente pelo CPF. Quando não o encontra, abre o cadastro com o identificador preenchido e, após salvar, retoma o pedido. O componente de endereço consulta o ViaCEP, com possibilidade de correção manual. A regra de atendimento impede pedido presencial em unidade configurada exclusivamente para delivery.</w:t>
      </w:r>
    </w:p>
    <w:p>
      <w:pPr>
        <w:spacing w:after="120"/>
        <w:ind w:firstLine="709"/>
        <w:jc w:val="both"/>
      </w:pPr>
      <w:r>
        <w:rPr>
          <w:b w:val="0"/>
        </w:rPr>
        <w:t>O banco concentra automações descritas para itens de pedido e adicionais. A inserção de um item aciona a baixa conforme a ficha técnica. O pseudocódigo abaixo representa essa regra de forma conceitual; os nomes dos procedimentos não afirmam a existência de funções com esses identificadores no schema.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PROCEDIMENTO processar_item(item, loja)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validar_quantidade_e_variacao(item)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validar_tipo_atendimento(loja, pedido)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ficha &lt;- consultar_ficha(item.variacao)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PARA CADA componente EM ficha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porcao_base &lt;- converter_unidade(componente)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consumo &lt;- item.quantidade * porcao_base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baixar_estoque(loja, componente.ingrediente, consumo)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FIM PARA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processar_adicionais(item)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RETORNAR resultado_da_operacao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FIM PROCEDIMENTO</w:t>
      </w:r>
    </w:p>
    <w:p>
      <w:pPr>
        <w:pStyle w:val="Heading2"/>
      </w:pPr>
      <w:r>
        <w:t>5.3 Regras de consistência a validar</w:t>
      </w:r>
    </w:p>
    <w:p>
      <w:pPr>
        <w:spacing w:after="120"/>
        <w:ind w:firstLine="709"/>
        <w:jc w:val="both"/>
      </w:pPr>
      <w:r>
        <w:rPr>
          <w:b w:val="0"/>
        </w:rPr>
        <w:t>Sequência aparece nas etapas de validação e registro; seleção, nas regras de atendimento e entradas inválidas; repetição, na lista de ingredientes; modularização, nos procedimentos especializados. O teste deve conferir atomicidade da gravação, concorrência e comportamento de cancelamentos. Reenvio de uma requisição não deve provocar baixa duplicada. Esses controles são critérios de aceitação, ainda não resultados comprovados.</w:t>
      </w:r>
    </w:p>
    <w:p>
      <w:pPr>
        <w:pStyle w:val="Heading1"/>
        <w:pageBreakBefore/>
      </w:pPr>
      <w:r>
        <w:t>6 Modelagem matemática</w:t>
      </w:r>
    </w:p>
    <w:p>
      <w:pPr>
        <w:spacing w:after="120"/>
        <w:ind w:firstLine="709"/>
        <w:jc w:val="both"/>
      </w:pPr>
      <w:r>
        <w:rPr>
          <w:b w:val="0"/>
        </w:rPr>
        <w:t>As regras quantitativas participam do funcionamento da aplicação. Seja qᵢ a quantidade de uma variação, pᵢ seu preço unitário em reais, cᵢ seu custo unitário e aᵢⱼ a porção do ingrediente j na unidade de estoque. O custo calculado por ficha é um custo teórico; perdas reais e atualizações de compra exigem controles adicionais.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123"/>
      </w:tblGrid>
      <w:tr>
        <w:trPr>
          <w:tblHeader w:val="true"/>
          <w:cantSplit/>
        </w:trPr>
        <w:tc>
          <w:tcPr>
            <w:tcW w:type="dxa" w:w="2948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Medida</w:t>
            </w:r>
          </w:p>
        </w:tc>
        <w:tc>
          <w:tcPr>
            <w:tcW w:type="dxa" w:w="6123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Regra e unidade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Subtotal dos itens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S = soma de qᵢ × pᵢ, em R$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Total cobrado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T = S − desconto + taxa de entrega, em R$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Custo teórico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 = soma de qᵢ × cᵢ, em R$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Consumo do ingrediente j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Qⱼ = soma de qᵢ × aᵢⱼ, em kg, g ou unidade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CMV do produto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 ÷ p × 100, em %, para p &gt; 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Margem bruta simplificada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p − c, em R$; (p − c) ÷ p × 100, em %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Ticket médio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Faturamento elegível ÷ pedidos elegíveis</w:t>
            </w:r>
          </w:p>
        </w:tc>
      </w:tr>
    </w:tbl>
    <w:p>
      <w:pPr>
        <w:spacing w:after="40"/>
      </w:pPr>
    </w:p>
    <w:p>
      <w:pPr>
        <w:pStyle w:val="Heading2"/>
      </w:pPr>
      <w:r>
        <w:t>6.1 Exemplo verificável de custo e margem</w:t>
      </w:r>
    </w:p>
    <w:p>
      <w:pPr>
        <w:spacing w:after="120"/>
        <w:ind w:firstLine="709"/>
        <w:jc w:val="both"/>
      </w:pPr>
      <w:r>
        <w:rPr>
          <w:b w:val="0"/>
        </w:rPr>
        <w:t>Para um produto com preço de R$ 27,90 e custo de ficha de R$ 8,90, o CMV é 8,90 ÷ 27,90 × 100 = 31,90%. A margem bruta simplificada é R$ 19,00, equivalente a 68,10%. Os percentuais usam arredondamento a duas casas. Essa margem não é lucro líquido, pois não deduz despesas operacionais, tributos e taxas.</w:t>
      </w:r>
    </w:p>
    <w:p>
      <w:pPr>
        <w:pStyle w:val="Heading2"/>
      </w:pPr>
      <w:r>
        <w:t>6.2 Exemplo de conversão e consumo</w:t>
      </w:r>
    </w:p>
    <w:p>
      <w:pPr>
        <w:spacing w:after="120"/>
        <w:ind w:firstLine="709"/>
        <w:jc w:val="both"/>
      </w:pPr>
      <w:r>
        <w:rPr>
          <w:b w:val="0"/>
        </w:rPr>
        <w:t>Um pedido de três burgers com porção de carne de 200 g consome 3 × 200 = 600 g, equivalentes a 0,60 kg. Com estoque inicial hipotético de 5,00 kg, o saldo esperado após a baixa é 4,40 kg. Porções e estoque precisam usar unidades compatíveis antes da subtração.</w:t>
      </w:r>
    </w:p>
    <w:p>
      <w:pPr>
        <w:pStyle w:val="Heading2"/>
      </w:pPr>
      <w:r>
        <w:t>6.3 Critérios dos indicadores</w:t>
      </w:r>
    </w:p>
    <w:p>
      <w:pPr>
        <w:spacing w:after="120"/>
        <w:ind w:firstLine="709"/>
        <w:jc w:val="both"/>
      </w:pPr>
      <w:r>
        <w:rPr>
          <w:b w:val="0"/>
        </w:rPr>
        <w:t>Taxas de plataforma, pagamento e entrega devem ter tratamento explícito. Para CMV agregado, definir primeiro a receita usada no denominador; o total cobrado ao cliente não deve ser adotado automaticamente como receita dos produtos. O ticket precisa do mesmo período, lojas e estados de pedido no numerador e denominador. Divisões por zero retornam indicador não calculável, sem erro ou valor infinito.</w:t>
      </w:r>
    </w:p>
    <w:p>
      <w:pPr>
        <w:pStyle w:val="Heading1"/>
        <w:pageBreakBefore/>
      </w:pPr>
      <w:r>
        <w:t>7 Análise orientada a objetos</w:t>
      </w:r>
    </w:p>
    <w:p>
      <w:pPr>
        <w:spacing w:after="120"/>
        <w:ind w:firstLine="709"/>
        <w:jc w:val="both"/>
      </w:pPr>
      <w:r>
        <w:rPr>
          <w:b w:val="0"/>
        </w:rPr>
        <w:t>A modelagem conceitual organiza os objetos do domínio e suas responsabilidades. A UML fornece uma linguagem padronizada para representar essas relações (OBJECT MANAGEMENT GROUP, 2017). O modelo abaixo explica o sistema sem afirmar que o front-end emprega classes JavaScript: componentes funcionais React podem representar interfaces relacionadas aos mesmos objetos.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515"/>
        <w:gridCol w:w="3855"/>
      </w:tblGrid>
      <w:tr>
        <w:trPr>
          <w:tblHeader w:val="true"/>
          <w:cantSplit/>
        </w:trPr>
        <w:tc>
          <w:tcPr>
            <w:tcW w:type="dxa" w:w="1701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Objeto</w:t>
            </w:r>
          </w:p>
        </w:tc>
        <w:tc>
          <w:tcPr>
            <w:tcW w:type="dxa" w:w="3515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Responsabilidade</w:t>
            </w:r>
          </w:p>
        </w:tc>
        <w:tc>
          <w:tcPr>
            <w:tcW w:type="dxa" w:w="3855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Associação conceitual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Cliente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Identidade e contato do comprador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1 cliente possui 0..* pedidos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Pedido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Venda, estado, canal e totais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1 pedido contém 1..* itens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ItemPedido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Quantidade e preço praticado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Cada item refere 1 variação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Produto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Identidade comercial e categoria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1 produto possui 1..* variações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Variação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Tamanho e composição vendável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Ficha relaciona variação a ingredientes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Loja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Unidade operacional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1 loja possui 0..* pedidos</w:t>
            </w:r>
          </w:p>
        </w:tc>
      </w:tr>
    </w:tbl>
    <w:p>
      <w:pPr>
        <w:spacing w:after="40"/>
      </w:pPr>
    </w:p>
    <w:p>
      <w:pPr>
        <w:pStyle w:val="Heading2"/>
      </w:pPr>
      <w:r>
        <w:t>7.1 Caso de uso principal</w:t>
      </w:r>
    </w:p>
    <w:p>
      <w:pPr>
        <w:spacing w:after="120"/>
        <w:ind w:firstLine="709"/>
        <w:jc w:val="both"/>
      </w:pPr>
      <w:r>
        <w:rPr>
          <w:b w:val="0"/>
        </w:rPr>
        <w:t>Caso de uso: registrar pedido. Ator principal: operador. Pré-condições: sessão válida, permissão para operar a unidade e catálogo disponível. Fluxo principal: selecionar loja, identificar cliente, selecionar variações e adicionais, conferir valores, registrar o pedido e receber a confirmação. Pós-condição esperada: pedido e itens persistidos, com efeitos de estoque coerentes com a regra adotada.</w:t>
      </w:r>
    </w:p>
    <w:p>
      <w:pPr>
        <w:spacing w:after="120"/>
        <w:ind w:firstLine="709"/>
        <w:jc w:val="both"/>
      </w:pPr>
      <w:r>
        <w:rPr>
          <w:b w:val="0"/>
        </w:rPr>
        <w:t>Fluxos alternativos: cliente inexistente leva ao cadastro e retorno ao pedido; CPF ou quantidade inválidos exigem correção; indisponibilidade do ViaCEP permite informar endereço manualmente; atendimento incompatível com a loja impede a operação; falha de gravação deve ser comunicada sem confirmação indevida.</w:t>
      </w:r>
    </w:p>
    <w:p>
      <w:pPr>
        <w:pStyle w:val="Heading2"/>
      </w:pPr>
      <w:r>
        <w:t>7.2 Encapsulamento das responsabilidades</w:t>
      </w:r>
    </w:p>
    <w:p>
      <w:pPr>
        <w:spacing w:after="120"/>
        <w:ind w:firstLine="709"/>
        <w:jc w:val="both"/>
      </w:pPr>
      <w:r>
        <w:rPr>
          <w:b w:val="0"/>
        </w:rPr>
        <w:t>As telas cuidam da interação. O acesso a dados utiliza a API do Supabase. As regras centrais descritas ficam no banco. Essa divisão evita depender apenas de validações visuais, que podem ser contornadas por uma chamada direta à API. A fronteira entre responsabilidades deve permanecer identificável no código e nas migrações.</w:t>
      </w:r>
    </w:p>
    <w:p>
      <w:pPr>
        <w:pStyle w:val="Heading1"/>
        <w:pageBreakBefore/>
      </w:pPr>
      <w:r>
        <w:t>8 Banco de dados e camada analítica</w:t>
      </w:r>
    </w:p>
    <w:p>
      <w:pPr>
        <w:spacing w:after="120"/>
        <w:ind w:firstLine="709"/>
        <w:jc w:val="both"/>
      </w:pPr>
      <w:r>
        <w:rPr>
          <w:b w:val="0"/>
        </w:rPr>
        <w:t>A ficha técnica descreve mais de vinte tabelas, incluindo lojas, categorias, produtos, produto_variacoes, ingredientes, fichas_tecnicas, clientes, pedidos, itens_pedido, estoque_lojas, fornecedores, usuarios, perfis e permissoes. Também registra tabelas para adicionais, cervejas, torneiras de chope e configurações de canal e pagamento.</w:t>
      </w:r>
    </w:p>
    <w:p>
      <w:pPr>
        <w:pStyle w:val="Heading2"/>
      </w:pPr>
      <w:r>
        <w:t>8.1 Automação transacional</w:t>
      </w:r>
    </w:p>
    <w:p>
      <w:pPr>
        <w:spacing w:after="120"/>
        <w:ind w:firstLine="709"/>
        <w:jc w:val="both"/>
      </w:pPr>
      <w:r>
        <w:rPr>
          <w:b w:val="0"/>
        </w:rPr>
        <w:t>Os triggers descritos baixam ingredientes de itens e adicionais, validam o tipo de atendimento e criam registro em usuarios após um novo login. Funções também sustentam cálculos de troco e taxas. Cada automação deve ser documentada com evento de disparo, tabelas afetadas, condições e estratégia para reversão ou compensação.</w:t>
      </w:r>
    </w:p>
    <w:p>
      <w:pPr>
        <w:pStyle w:val="Heading2"/>
      </w:pPr>
      <w:r>
        <w:t>8.2 Consultas e dimensões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5102"/>
      </w:tblGrid>
      <w:tr>
        <w:trPr>
          <w:tblHeader w:val="true"/>
          <w:cantSplit/>
        </w:trPr>
        <w:tc>
          <w:tcPr>
            <w:tcW w:type="dxa" w:w="3969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Objeto informado</w:t>
            </w:r>
          </w:p>
        </w:tc>
        <w:tc>
          <w:tcPr>
            <w:tcW w:type="dxa" w:w="5102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Finalidade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vw_custo_variacao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Custo e margem da variação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vw_vendas_por_loja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Faturamento e ticket por unidade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vw_ranking_produtos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Classificação dos produtos vendidos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vw_engenharia_cardapio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Leitura de popularidade e rentabilidade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dim_loja, dim_produto, dim_data e outras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Contexto de análise por entidade e período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fato_vendas e fato_itens_venda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Medidas em níveis de pedido e item</w:t>
            </w:r>
          </w:p>
        </w:tc>
      </w:tr>
    </w:tbl>
    <w:p>
      <w:pPr>
        <w:spacing w:after="40"/>
      </w:pPr>
    </w:p>
    <w:p>
      <w:pPr>
        <w:spacing w:after="120"/>
        <w:ind w:firstLine="709"/>
        <w:jc w:val="both"/>
      </w:pPr>
      <w:r>
        <w:rPr>
          <w:b w:val="0"/>
        </w:rPr>
        <w:t>Uma view comum guarda a definição da consulta e a executa quando referenciada; não armazena fisicamente o resultado como uma materialized view (POSTGRESQL GLOBAL DEVELOPMENT GROUP, s.d.). Assim, a expressão “consulta materializada em tempo real” não define corretamente todas as views do projeto. O tipo de cada objeto deve ser confirmado nas migrações.</w:t>
      </w:r>
    </w:p>
    <w:p>
      <w:pPr>
        <w:pStyle w:val="Heading2"/>
      </w:pPr>
      <w:r>
        <w:t>8.3 Consistência analítica</w:t>
      </w:r>
    </w:p>
    <w:p>
      <w:pPr>
        <w:spacing w:after="120"/>
        <w:ind w:firstLine="709"/>
        <w:jc w:val="both"/>
      </w:pPr>
      <w:r>
        <w:rPr>
          <w:b w:val="0"/>
        </w:rPr>
        <w:t>A análise por item não pode multiplicar o total do pedido pelo número de linhas. Taxas e descontos precisam de uma regra de rateio quando forem levados ao nível do item. Preservar preço e custo de referência da venda evita que uma alteração posterior do cadastro reescreva a interpretação histórica. A existência de dimensões e fatos prepara a integração, mas não comprova Power BI conectado ou ETL produtivo.</w:t>
      </w:r>
    </w:p>
    <w:p>
      <w:pPr>
        <w:pStyle w:val="Heading1"/>
        <w:pageBreakBefore/>
      </w:pPr>
      <w:r>
        <w:t>9 Computação em nuvem e segurança</w:t>
      </w:r>
    </w:p>
    <w:p>
      <w:pPr>
        <w:spacing w:after="120"/>
        <w:ind w:firstLine="709"/>
        <w:jc w:val="both"/>
      </w:pPr>
      <w:r>
        <w:rPr>
          <w:b w:val="0"/>
        </w:rPr>
        <w:t>Supabase fornece o backend gerenciado utilizado pelo projeto. A interface permanece em desenvolvimento local com Vite; o Netlify é a hospedagem planejada para o front-end. Não se pressupõem implantação contínua, política de backup ou capacidade contratada sem configurar e verificar o ambiente correspondente.</w:t>
      </w:r>
    </w:p>
    <w:p>
      <w:pPr>
        <w:pStyle w:val="Heading2"/>
      </w:pPr>
      <w:r>
        <w:t>9.1 Fluxo de acesso</w:t>
      </w:r>
    </w:p>
    <w:p>
      <w:pPr>
        <w:spacing w:after="120"/>
        <w:ind w:firstLine="709"/>
        <w:jc w:val="both"/>
      </w:pPr>
      <w:r>
        <w:rPr>
          <w:b w:val="0"/>
        </w:rPr>
        <w:t>O navegador autentica o usuário, mantém a sessão e solicita operações à API do Supabase. O PostgREST encaminha o acesso ao PostgreSQL, onde permissões e políticas condicionam o resultado. Os scripts Python fazem operações independentes de preparação e simulação. Serviços externos, como ViaCEP, atendem funções específicas da interface.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3118"/>
        <w:gridCol w:w="3515"/>
      </w:tblGrid>
      <w:tr>
        <w:trPr>
          <w:tblHeader w:val="true"/>
          <w:cantSplit/>
        </w:trPr>
        <w:tc>
          <w:tcPr>
            <w:tcW w:type="dxa" w:w="2438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Controle</w:t>
            </w:r>
          </w:p>
        </w:tc>
        <w:tc>
          <w:tcPr>
            <w:tcW w:type="dxa" w:w="3118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type="dxa" w:w="3515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Verificação necessária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Supabase Auth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Identificar usuário e sessão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Login, expiração e encerramento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RBAC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Relacionar perfil e permissões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Ações permitidas por papel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RLS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Controlar linhas acessíveis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Leitura e escrita entre lojas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Funções privilegiadas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Executar automações de sistema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Privilégios mínimos e chamadas autorizadas</w:t>
            </w:r>
          </w:p>
        </w:tc>
      </w:tr>
    </w:tbl>
    <w:p>
      <w:pPr>
        <w:spacing w:after="40"/>
      </w:pPr>
    </w:p>
    <w:p>
      <w:pPr>
        <w:spacing w:after="120"/>
        <w:ind w:firstLine="709"/>
        <w:jc w:val="both"/>
      </w:pPr>
      <w:r>
        <w:rPr>
          <w:b w:val="0"/>
        </w:rPr>
        <w:t>RLS aplica condições de acesso dentro do PostgreSQL (SUPABASE, s.d.b). A ficha informa políticas com escopo por unidade em algumas tabelas. Ativar RLS não prova que todas as combinações de usuário, loja e ação estão protegidas. Também é necessário revisar o acesso às views e às funções SECURITY DEFINER para que seus privilégios não permitam operações indevidas.</w:t>
      </w:r>
    </w:p>
    <w:p>
      <w:pPr>
        <w:pStyle w:val="Heading2"/>
      </w:pPr>
      <w:r>
        <w:t>9.2 Configuração e operação</w:t>
      </w:r>
    </w:p>
    <w:p>
      <w:pPr>
        <w:spacing w:after="120"/>
        <w:ind w:firstLine="709"/>
        <w:jc w:val="both"/>
      </w:pPr>
      <w:r>
        <w:rPr>
          <w:b w:val="0"/>
        </w:rPr>
        <w:t>Senhas do banco e chaves privilegiadas não devem entrar no código do front-end nem no repositório. O arquivo de exemplo de ambiente registra nomes e valores fictícios. A documentação de implantação deverá indicar variáveis, configuração de autenticação, migrações, logs e procedimento de recuperação conforme os recursos efetivamente disponíveis.</w:t>
      </w:r>
    </w:p>
    <w:p>
      <w:pPr>
        <w:spacing w:after="120"/>
        <w:ind w:firstLine="709"/>
        <w:jc w:val="both"/>
      </w:pPr>
      <w:r>
        <w:rPr>
          <w:b w:val="0"/>
        </w:rPr>
        <w:t>Antes da publicação, validar o comportamento em ambiente de teste com dados sintéticos. O acesso entre unidades, cancelamentos e requisições repetidas fazem parte dos testes necessários para uma operação consistente.</w:t>
      </w:r>
    </w:p>
    <w:p>
      <w:pPr>
        <w:pStyle w:val="Heading1"/>
        <w:pageBreakBefore/>
      </w:pPr>
      <w:r>
        <w:t>10 Plano de implementação e validação</w:t>
      </w:r>
    </w:p>
    <w:p>
      <w:pPr>
        <w:spacing w:after="120"/>
        <w:ind w:firstLine="709"/>
        <w:jc w:val="both"/>
      </w:pPr>
      <w:r>
        <w:rPr>
          <w:b w:val="0"/>
        </w:rPr>
        <w:t>A implementação deve evoluir em entregas pequenas. A sequência proposta aproveita o sistema existente e prioriza a possibilidade de reproduzir e verificar seu funcionamento antes de expandir módulos.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515"/>
        <w:gridCol w:w="3855"/>
      </w:tblGrid>
      <w:tr>
        <w:trPr>
          <w:tblHeader w:val="true"/>
          <w:cantSplit/>
        </w:trPr>
        <w:tc>
          <w:tcPr>
            <w:tcW w:type="dxa" w:w="1701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3515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type="dxa" w:w="3855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Critério de conclusão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1 Consolidar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Código, README e migrations no Git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Ambiente inicial reproduzível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2 Validar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Cálculos, estoque e autorização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Resultados registrados e falhas corrigidas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3 Integrar compras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Custo de compra nos ingredientes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Ficha usa custo de referência coerente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4 Publicar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Front-end e rotina de implantação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Ambiente acessível e configurado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5 Evoluir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Financeiro e Power BI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Dados reconciliados com a operação</w:t>
            </w:r>
          </w:p>
        </w:tc>
      </w:tr>
    </w:tbl>
    <w:p>
      <w:pPr>
        <w:spacing w:after="40"/>
      </w:pPr>
    </w:p>
    <w:p>
      <w:pPr>
        <w:pStyle w:val="Heading2"/>
      </w:pPr>
      <w:r>
        <w:t>10.1 Casos iniciais de teste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4"/>
        <w:gridCol w:w="3969"/>
        <w:gridCol w:w="4139"/>
      </w:tblGrid>
      <w:tr>
        <w:trPr>
          <w:tblHeader w:val="true"/>
          <w:cantSplit/>
        </w:trPr>
        <w:tc>
          <w:tcPr>
            <w:tcW w:type="dxa" w:w="964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type="dxa" w:w="3969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Entrada ou situação</w:t>
            </w:r>
          </w:p>
        </w:tc>
        <w:tc>
          <w:tcPr>
            <w:tcW w:type="dxa" w:w="4139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CT01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Preço 27,90; custo 8,90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CMV 31,90%; margem R$ 19,00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CT02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3 burgers de 200 g; saldo 5 kg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Baixa 0,60 kg; saldo 4,40 kg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CT03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Quantidade zero ou negativa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Rejeição sem baixa de estoque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CT04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Presencial em loja delivery-only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Rejeição da operação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CT05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Usuário acessa unidade não autorizada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Negação conforme política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CT06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Reenvio ou cancelamento do pedido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Sem baixa duplicada ou saldo incoerente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CT07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Receita ou preço igual a zero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Percentual não calculável, sem divisão inválida</w:t>
            </w:r>
          </w:p>
        </w:tc>
      </w:tr>
    </w:tbl>
    <w:p>
      <w:pPr>
        <w:spacing w:after="40"/>
      </w:pPr>
    </w:p>
    <w:p>
      <w:pPr>
        <w:spacing w:after="120"/>
        <w:ind w:firstLine="709"/>
        <w:jc w:val="both"/>
      </w:pPr>
      <w:r>
        <w:rPr>
          <w:b w:val="0"/>
        </w:rPr>
        <w:t>Os resultados acima são expectativas de teste. A ficha técnica informa que a camada automatizada ainda precisa ser criada. Os testes do módulo demonstrativo entregue anteriormente não comprovam a aplicação real. A evidência de execução deverá identificar versão do código, ambiente, comando, dados utilizados e resultado obtido.</w:t>
      </w:r>
    </w:p>
    <w:p>
      <w:pPr>
        <w:pStyle w:val="Heading1"/>
        <w:pageBreakBefore/>
      </w:pPr>
      <w:r>
        <w:t>11 Repositório e organização da equipe</w:t>
      </w:r>
    </w:p>
    <w:p>
      <w:pPr>
        <w:spacing w:after="120"/>
        <w:ind w:firstLine="709"/>
        <w:jc w:val="both"/>
      </w:pPr>
      <w:r>
        <w:rPr>
          <w:b w:val="0"/>
        </w:rPr>
        <w:t>O Git ainda não está formalizado conforme a ficha técnica. Por isso, não há URL e histórico verificados para registrar como concluídos nesta revisão. Antes da submissão, o grupo deve publicar ou compartilhar o repositório com o docente, inserir seu endereço completo no trabalho e testar o acesso fora da conta do responsável.</w:t>
      </w:r>
    </w:p>
    <w:p>
      <w:pPr>
        <w:pStyle w:val="Heading2"/>
      </w:pPr>
      <w:r>
        <w:t>11.1 Estrutura proposta para organização</w:t>
      </w:r>
    </w:p>
    <w:p>
      <w:pPr>
        <w:spacing w:after="120"/>
        <w:ind w:firstLine="709"/>
        <w:jc w:val="both"/>
      </w:pPr>
      <w:r>
        <w:rPr>
          <w:b w:val="0"/>
        </w:rPr>
        <w:t>A estrutura abaixo é uma proposta de organização. Ela deve ser adaptada aos caminhos reais da aplicação, preservando arquivos de configuração e dependências necessários à execução.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85"/>
        <w:gridCol w:w="5386"/>
      </w:tblGrid>
      <w:tr>
        <w:trPr>
          <w:tblHeader w:val="true"/>
          <w:cantSplit/>
        </w:trPr>
        <w:tc>
          <w:tcPr>
            <w:tcW w:type="dxa" w:w="3685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Pasta ou arquivo</w:t>
            </w:r>
          </w:p>
        </w:tc>
        <w:tc>
          <w:tcPr>
            <w:tcW w:type="dxa" w:w="5386"/>
            <w:shd w:fill="2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b/>
                <w:color w:val="FFFFFF"/>
                <w:sz w:val="20"/>
              </w:rPr>
              <w:t>Conteúdo previsto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README.md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Tema, integrantes, problema, tecnologias e execução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src/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Componentes, páginas e acesso ao Supabase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supabase/migrations/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Schema, views, funções, triggers e políticas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scripts/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Seeds e simulações Python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tests/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Casos unitários e de integração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docs/entrega-01/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Trabalho, apresentação, modelagens e evidências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Manifestos e arquivo de ambiente de exemplo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64" w:lineRule="auto" w:after="60"/>
              <w:jc w:val="left"/>
            </w:pPr>
            <w:r>
              <w:rPr>
                <w:sz w:val="20"/>
              </w:rPr>
              <w:t>Dependências reais e configuração sem segredos</w:t>
            </w:r>
          </w:p>
        </w:tc>
      </w:tr>
    </w:tbl>
    <w:p>
      <w:pPr>
        <w:spacing w:after="40"/>
      </w:pPr>
    </w:p>
    <w:p>
      <w:pPr>
        <w:pStyle w:val="Heading2"/>
      </w:pPr>
      <w:r>
        <w:t>11.2 Histórico e contribuições</w:t>
      </w:r>
    </w:p>
    <w:p>
      <w:pPr>
        <w:spacing w:after="120"/>
        <w:ind w:firstLine="709"/>
        <w:jc w:val="both"/>
      </w:pPr>
      <w:r>
        <w:rPr>
          <w:b w:val="0"/>
        </w:rPr>
        <w:t>O primeiro commit deve identificar o estado recebido como linha de base. Alterações posteriores precisam de mensagens descritivas e correspondência com o trabalho realizado. Não se devem fabricar datas, dividir artificialmente código pronto para simular evolução ou atribuir autoria que não corresponda à contribuição efetiva.</w:t>
      </w:r>
    </w:p>
    <w:p>
      <w:pPr>
        <w:spacing w:after="120"/>
        <w:ind w:firstLine="709"/>
        <w:jc w:val="both"/>
      </w:pPr>
      <w:r>
        <w:rPr>
          <w:b w:val="0"/>
        </w:rPr>
        <w:t>A divisão proposta atribui a Gabriel a revisão técnica de JavaScript, arquitetura Supabase, modelagem OO e regras de banco. Rafaela participa do levantamento do fluxo, descrição do problema, conferência matemática, casos de teste e revisão textual. Essa organização é um plano de trabalho; os registros reais devem confirmar as contribuições.</w:t>
      </w:r>
    </w:p>
    <w:p>
      <w:pPr>
        <w:pStyle w:val="Heading2"/>
      </w:pPr>
      <w:r>
        <w:t>11.3 Pacote acadêmico</w:t>
      </w:r>
    </w:p>
    <w:p>
      <w:pPr>
        <w:spacing w:after="120"/>
        <w:ind w:firstLine="709"/>
        <w:jc w:val="both"/>
      </w:pPr>
      <w:r>
        <w:rPr>
          <w:b w:val="0"/>
        </w:rPr>
        <w:t>A proposta oficial exige PI-2026-2-BRASA-BURGUER-ENTREGA-1.zip, até 100 MB, com trabalho-escrito.pdf, apresentacao.pdf e anexos/. O formulário recebe título, URL do repositório e ZIP. O prazo informado é 02/10/2026, respeitando o horário institucional. Código e evidências devem refletir o mesmo estado da documentação.</w:t>
      </w:r>
    </w:p>
    <w:p>
      <w:pPr>
        <w:pStyle w:val="Heading1"/>
        <w:pageBreakBefore/>
      </w:pPr>
      <w:r>
        <w:t>12 Perspectivas e considerações finais</w:t>
      </w:r>
    </w:p>
    <w:p>
      <w:pPr>
        <w:pStyle w:val="Heading2"/>
      </w:pPr>
      <w:r>
        <w:t>12.1 Perspectiva de produto</w:t>
      </w:r>
    </w:p>
    <w:p>
      <w:pPr>
        <w:spacing w:after="120"/>
        <w:ind w:firstLine="709"/>
        <w:jc w:val="both"/>
      </w:pPr>
      <w:r>
        <w:rPr>
          <w:b w:val="0"/>
        </w:rPr>
        <w:t>O posicionamento proposto é um sistema especializado em food service, inicialmente direcionado a hamburguerias independentes e pequenas redes. O valor esperado está na associação entre pedido, ficha técnica, consumo e desempenho por unidade. Essa hipótese deve ser validada em um piloto, observando facilidade de uso, consistência dos números e esforço operacional.</w:t>
      </w:r>
    </w:p>
    <w:p>
      <w:pPr>
        <w:spacing w:after="120"/>
        <w:ind w:firstLine="709"/>
        <w:jc w:val="both"/>
      </w:pPr>
      <w:r>
        <w:rPr>
          <w:b w:val="0"/>
        </w:rPr>
        <w:t>Os planos Starter, Pro, Business e Enterprise são possibilidades comerciais descritas na apresentação, sem preços definidos. Assinatura, implantação, treinamento, migração e serviços de dados podem compor o modelo de receita. Não representam vendas realizadas nem validação de mercado. A evolução comercial depende de maturidade técnica, suporte e aderência às necessidades dos usuários.</w:t>
      </w:r>
    </w:p>
    <w:p>
      <w:pPr>
        <w:pStyle w:val="Heading2"/>
      </w:pPr>
      <w:r>
        <w:t>12.2 Integrações posteriores</w:t>
      </w:r>
    </w:p>
    <w:p>
      <w:pPr>
        <w:spacing w:after="120"/>
        <w:ind w:firstLine="709"/>
        <w:jc w:val="both"/>
      </w:pPr>
      <w:r>
        <w:rPr>
          <w:b w:val="0"/>
        </w:rPr>
        <w:t>O roadmap inclui marketplaces, WhatsApp, gateways de pagamento, emissão fiscal, Power BI e ferramentas de inteligência artificial. Essas integrações devem ser tratadas como futuras. Um copiloto baseado em linguagem natural e modelos de previsão exigem dados confiáveis, regras de autorização e critérios de avaliação antes de participar das decisões da operação.</w:t>
      </w:r>
    </w:p>
    <w:p>
      <w:pPr>
        <w:pStyle w:val="Heading2"/>
      </w:pPr>
      <w:r>
        <w:t>12.3 Síntese acadêmica</w:t>
      </w:r>
    </w:p>
    <w:p>
      <w:pPr>
        <w:spacing w:after="120"/>
        <w:ind w:firstLine="709"/>
        <w:jc w:val="both"/>
      </w:pPr>
      <w:r>
        <w:rPr>
          <w:b w:val="0"/>
        </w:rPr>
        <w:t>O Brasa Burguer Management reúne um caso de programação e modelagem com aplicação prática. A interface utiliza React, a API é fornecida pelo Supabase e as regras descritas concentram-se no PostgreSQL. Python apoia preparação e simulação de dados de forma independente. A arquitetura atual permite relacionar o projeto às disciplinas de JavaScript, nuvem e análise orientada a objetos, preservando os eixos de algoritmos e matemática exigidos pela rubrica.</w:t>
      </w:r>
    </w:p>
    <w:p>
      <w:pPr>
        <w:spacing w:after="120"/>
        <w:ind w:firstLine="709"/>
        <w:jc w:val="both"/>
      </w:pPr>
      <w:r>
        <w:rPr>
          <w:b w:val="0"/>
        </w:rPr>
        <w:t>A Entrega 1 estabelece problema, escopo, continuidade e modelos verificáveis. O foco imediato é vincular as funcionalidades documentadas ao código original, aos testes e ao histórico Git. Essa etapa permite que o docente diferencie a linha de base, o incremento de 2026/2 e as evoluções futuras, sem confundir descrição de produto com comprovação de implementação.</w:t>
      </w:r>
    </w:p>
    <w:p>
      <w:pPr>
        <w:pStyle w:val="Heading1"/>
        <w:pageBreakBefore/>
      </w:pPr>
      <w:r>
        <w:t>Referências</w:t>
      </w:r>
    </w:p>
    <w:p>
      <w:pPr>
        <w:spacing w:after="160" w:line="264" w:lineRule="auto"/>
        <w:ind w:firstLine="0"/>
        <w:jc w:val="both"/>
      </w:pPr>
      <w:r>
        <w:rPr>
          <w:b w:val="0"/>
        </w:rPr>
        <w:t>ANHANGUERA. Projeto Integrado I, II e III: Entrega 1 – Proposta e modelagem integrada. Material da disciplina, Prof. Gilberto Falco Netto, 2026/2. Documento fornecido ao grupo.</w:t>
      </w:r>
    </w:p>
    <w:p>
      <w:pPr>
        <w:spacing w:after="160" w:line="264" w:lineRule="auto"/>
        <w:ind w:firstLine="0"/>
        <w:jc w:val="both"/>
      </w:pPr>
      <w:r>
        <w:rPr>
          <w:b w:val="0"/>
        </w:rPr>
        <w:t>BRASA BURGUER. Ficha Técnica do Projeto. Documento técnico do projeto, 2026. Material fornecido para esta revisão.</w:t>
      </w:r>
    </w:p>
    <w:p>
      <w:pPr>
        <w:spacing w:after="160" w:line="264" w:lineRule="auto"/>
        <w:ind w:firstLine="0"/>
        <w:jc w:val="both"/>
      </w:pPr>
      <w:r>
        <w:rPr>
          <w:b w:val="0"/>
        </w:rPr>
        <w:t>BRASA BURGUER. Apresentação Executiva. Arquivo Brasa_Burguer_Apresentacao_Executiva(1).pptx, 2026. Material fornecido para esta revisão.</w:t>
      </w:r>
    </w:p>
    <w:p>
      <w:pPr>
        <w:spacing w:after="160" w:line="264" w:lineRule="auto"/>
        <w:ind w:firstLine="0"/>
        <w:jc w:val="both"/>
      </w:pPr>
      <w:r>
        <w:rPr>
          <w:b w:val="0"/>
        </w:rPr>
        <w:t>OBJECT MANAGEMENT GROUP. Unified Modeling Language, version 2.5.1. 2017. Disponível em: https://www.omg.org/spec/UML/2.5.1. Acesso em: 13 set. 2026.</w:t>
      </w:r>
    </w:p>
    <w:p>
      <w:pPr>
        <w:spacing w:after="160" w:line="264" w:lineRule="auto"/>
        <w:ind w:firstLine="0"/>
        <w:jc w:val="both"/>
      </w:pPr>
      <w:r>
        <w:rPr>
          <w:b w:val="0"/>
        </w:rPr>
        <w:t>POSTGRESQL GLOBAL DEVELOPMENT GROUP. CREATE VIEW. PostgreSQL Documentation. s.d. Disponível em: https://www.postgresql.org/docs/current/sql-createview.html. Acesso em: 13 set. 2026.</w:t>
      </w:r>
    </w:p>
    <w:p>
      <w:pPr>
        <w:spacing w:after="160" w:line="264" w:lineRule="auto"/>
        <w:ind w:firstLine="0"/>
        <w:jc w:val="both"/>
      </w:pPr>
      <w:r>
        <w:rPr>
          <w:b w:val="0"/>
        </w:rPr>
        <w:t>PYTHON SOFTWARE FOUNDATION. The Python Tutorial. s.d. Disponível em: https://docs.python.org/3/tutorial/. Acesso em: 13 set. 2026. Apoio à decomposição, estruturas de controle e scripts.</w:t>
      </w:r>
    </w:p>
    <w:p>
      <w:pPr>
        <w:spacing w:after="160" w:line="264" w:lineRule="auto"/>
        <w:ind w:firstLine="0"/>
        <w:jc w:val="both"/>
      </w:pPr>
      <w:r>
        <w:rPr>
          <w:b w:val="0"/>
        </w:rPr>
        <w:t>REACT. Thinking in React. s.d. Disponível em: https://react.dev/learn/thinking-in-react. Acesso em: 13 set. 2026.</w:t>
      </w:r>
    </w:p>
    <w:p>
      <w:pPr>
        <w:spacing w:after="160" w:line="264" w:lineRule="auto"/>
        <w:ind w:firstLine="0"/>
        <w:jc w:val="both"/>
      </w:pPr>
      <w:r>
        <w:rPr>
          <w:b w:val="0"/>
        </w:rPr>
        <w:t>ROSEN, Kenneth H. Discrete Mathematics and Its Applications. 8. ed. McGraw-Hill, 2019. Referência de apoio para relações, funções e modelagem matemática.</w:t>
      </w:r>
    </w:p>
    <w:p>
      <w:pPr>
        <w:spacing w:after="160" w:line="264" w:lineRule="auto"/>
        <w:ind w:firstLine="0"/>
        <w:jc w:val="both"/>
      </w:pPr>
      <w:r>
        <w:rPr>
          <w:b w:val="0"/>
        </w:rPr>
        <w:t>SUPABASE. Data REST API. s.d.a. Disponível em: https://supabase.com/docs/guides/api. Acesso em: 13 set. 2026.</w:t>
      </w:r>
    </w:p>
    <w:p>
      <w:pPr>
        <w:spacing w:after="160" w:line="264" w:lineRule="auto"/>
        <w:ind w:firstLine="0"/>
        <w:jc w:val="both"/>
      </w:pPr>
      <w:r>
        <w:rPr>
          <w:b w:val="0"/>
        </w:rPr>
        <w:t>SUPABASE. Row Level Security. s.d.b. Disponível em: https://supabase.com/docs/guides/database/postgres/row-level-security. Acesso em: 13 set. 2026.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  <w:jc w:val="both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240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Brasa Burguer Management - Proposta e modelagem integrada</dc:title>
  <dc:subject/>
  <dc:creator>Gabriel Rodrigues do Prado; Rafaela Rodrigues Oliveira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