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line="240"/>
        <w:jc w:val="center"/>
      </w:pPr>
      <w:r>
        <w:rPr>
          <w:rFonts w:ascii="Times New Roman" w:cs="Times New Roman" w:eastAsia="Times New Roman" w:hAnsi="Times New Roman"/>
          <w:sz w:val="24"/>
          <w:szCs w:val="24"/>
        </w:rPr>
        <w:t xml:space="preserve">Simulating Comparative Politics:</w:t>
      </w:r>
    </w:p>
    <w:p>
      <w:pPr>
        <w:spacing w:after="0" w:line="240"/>
        <w:jc w:val="center"/>
      </w:pPr>
      <w:r>
        <w:rPr>
          <w:rFonts w:ascii="Times New Roman" w:cs="Times New Roman" w:eastAsia="Times New Roman" w:hAnsi="Times New Roman"/>
          <w:b w:val="false"/>
          <w:bCs w:val="false"/>
          <w:i w:val="false"/>
          <w:iCs w:val="false"/>
          <w:sz w:val="24"/>
          <w:szCs w:val="24"/>
        </w:rPr>
        <w:t xml:space="preserve">Institutional Design, State Formation, and International Order</w:t>
      </w:r>
    </w:p>
    <w:p>
      <w:pPr>
        <w:spacing w:after="240" w:line="240"/>
        <w:jc w:val="center"/>
      </w:pPr>
      <w:r>
        <w:rPr>
          <w:rFonts w:ascii="Times New Roman" w:cs="Times New Roman" w:eastAsia="Times New Roman" w:hAnsi="Times New Roman"/>
          <w:b w:val="false"/>
          <w:bCs w:val="false"/>
          <w:i w:val="false"/>
          <w:iCs w:val="false"/>
          <w:sz w:val="24"/>
          <w:szCs w:val="24"/>
        </w:rPr>
        <w:t xml:space="preserve">in the Aeolia Computational Model</w:t>
      </w:r>
    </w:p>
    <w:p>
      <w:pPr>
        <w:spacing w:after="0" w:line="240"/>
        <w:jc w:val="center"/>
      </w:pPr>
      <w:r>
        <w:rPr>
          <w:rFonts w:ascii="Times New Roman" w:cs="Times New Roman" w:eastAsia="Times New Roman" w:hAnsi="Times New Roman"/>
          <w:b w:val="false"/>
          <w:bCs w:val="false"/>
          <w:i w:val="false"/>
          <w:iCs w:val="false"/>
          <w:sz w:val="24"/>
          <w:szCs w:val="24"/>
        </w:rPr>
        <w:t xml:space="preserve">Terrace</w:t>
      </w:r>
    </w:p>
    <w:p>
      <w:pPr>
        <w:spacing w:after="0" w:line="240"/>
        <w:jc w:val="center"/>
      </w:pPr>
      <w:r>
        <w:rPr>
          <w:rFonts w:ascii="Times New Roman" w:cs="Times New Roman" w:eastAsia="Times New Roman" w:hAnsi="Times New Roman"/>
          <w:b w:val="false"/>
          <w:bCs w:val="false"/>
          <w:i w:val="false"/>
          <w:iCs w:val="false"/>
          <w:sz w:val="24"/>
          <w:szCs w:val="24"/>
        </w:rPr>
        <w:t xml:space="preserve">University of British Columbia</w:t>
      </w:r>
    </w:p>
    <w:p>
      <w:pPr>
        <w:spacing w:after="240" w:line="240"/>
        <w:jc w:val="center"/>
      </w:pPr>
      <w:r>
        <w:rPr>
          <w:rFonts w:ascii="Times New Roman" w:cs="Times New Roman" w:eastAsia="Times New Roman" w:hAnsi="Times New Roman"/>
          <w:b w:val="false"/>
          <w:bCs w:val="false"/>
          <w:i w:val="false"/>
          <w:iCs w:val="false"/>
          <w:sz w:val="24"/>
          <w:szCs w:val="24"/>
        </w:rPr>
        <w:t xml:space="preserve">Department of Political Science</w:t>
      </w:r>
    </w:p>
    <w:p>
      <w:pPr>
        <w:spacing w:after="240" w:line="240"/>
        <w:jc w:val="center"/>
      </w:pPr>
      <w:r>
        <w:rPr>
          <w:rFonts w:ascii="Times New Roman" w:cs="Times New Roman" w:eastAsia="Times New Roman" w:hAnsi="Times New Roman"/>
          <w:b w:val="false"/>
          <w:bCs w:val="false"/>
          <w:i w:val="false"/>
          <w:iCs w:val="false"/>
          <w:sz w:val="24"/>
          <w:szCs w:val="24"/>
        </w:rPr>
        <w:t xml:space="preserve">DRAFT — April 2026</w:t>
      </w:r>
    </w:p>
    <w:p>
      <w:pPr>
        <w:spacing w:after="0" w:line="240"/>
        <w:jc w:val="center"/>
      </w:pPr>
      <w:r>
        <w:rPr>
          <w:rFonts w:ascii="Times New Roman" w:cs="Times New Roman" w:eastAsia="Times New Roman" w:hAnsi="Times New Roman"/>
          <w:i/>
          <w:iCs/>
          <w:sz w:val="24"/>
          <w:szCs w:val="24"/>
        </w:rPr>
        <w:t xml:space="preserve">Prepared for review by Comparative Politics faculty</w:t>
      </w:r>
    </w:p>
    <w:p>
      <w:r>
        <w:br w:type="page"/>
      </w:r>
    </w:p>
    <w:p>
      <w:pPr>
        <w:spacing w:after="0" w:before="0" w:line="480"/>
        <w:jc w:val="center"/>
      </w:pPr>
      <w:r>
        <w:rPr>
          <w:rFonts w:ascii="Times New Roman" w:cs="Times New Roman" w:eastAsia="Times New Roman" w:hAnsi="Times New Roman"/>
          <w:b/>
          <w:bCs/>
          <w:sz w:val="24"/>
          <w:szCs w:val="24"/>
        </w:rPr>
        <w:t xml:space="preserve">Abstract</w:t>
      </w:r>
    </w:p>
    <w:p>
      <w:pPr>
        <w:spacing w:after="0" w:line="480"/>
        <w:jc w:val="both"/>
      </w:pPr>
      <w:r>
        <w:rPr>
          <w:rFonts w:ascii="Times New Roman" w:cs="Times New Roman" w:eastAsia="Times New Roman" w:hAnsi="Times New Roman"/>
          <w:b w:val="false"/>
          <w:bCs w:val="false"/>
          <w:i w:val="false"/>
          <w:iCs w:val="false"/>
          <w:sz w:val="24"/>
          <w:szCs w:val="24"/>
        </w:rPr>
        <w:t xml:space="preserve">This paper examines the political science foundations embedded in Aeolia, an original computational simulation of civilizational development on a fictional oceanic planet. The project models state formation, political culture, international relations, colonial dynamics, and political economy through parameterized mechanics grounded in established comparative politics theory. By encoding frameworks from Wittfogel, Almond and Verba, Mearsheimer, Wallerstein, and others into executable simulation logic, Aeolia functions as a laboratory for counterfactual political science—testing whether geographic determinism or institutional design better explains divergent civilizational outcomes. This paper surveys the theoretical architecture of the simulation, identifies the specific comparative politics concepts operationalized in its code and design documents, and reflects on what this approach reveals about the relationship between formal modeling and qualitative political theory.</w:t>
      </w:r>
    </w:p>
    <w:p>
      <w:r>
        <w:br w:type="page"/>
      </w:r>
    </w:p>
    <w:p>
      <w:pPr>
        <w:spacing w:after="0" w:before="240" w:line="480"/>
        <w:jc w:val="left"/>
      </w:pPr>
      <w:r>
        <w:rPr>
          <w:rFonts w:ascii="Times New Roman" w:cs="Times New Roman" w:eastAsia="Times New Roman" w:hAnsi="Times New Roman"/>
          <w:b/>
          <w:bCs/>
          <w:i w:val="false"/>
          <w:iCs w:val="false"/>
          <w:sz w:val="24"/>
          <w:szCs w:val="24"/>
        </w:rPr>
        <w:t xml:space="preserve">I. Introduction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Aeolia is a computational simulation of civilizational development set on a fictional oceanic planet—an archipelago world where geography, agriculture, and political culture interact to produce divergent state formations, trade networks, colonial encounters, and geopolitical orders. Though conceived as a worldbuilding project for speculative fiction, its simulation engine encodes a remarkable density of comparative politics theory, drawing on scholarship spanning state formation, political culture, international relations, political economy, and colonial studies.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project raises a methodological question that comparative politics has largely left unexamined: what happens when qualitative theories of political development are translated into parameterized, executable models? Agent-based modeling and computational social science have made inroads in political science, but Aeolia's approach is distinctive. Rather than modeling a single phenomenon—voter behavior, arms races, ethnic conflict—it attempts to encode an entire civilizational trajectory from Neolithic agriculture through nuclear deterrence, with each transition governed by identifiable theoretical frameworks.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This paper surveys the political science architecture of Aeolia in four domains: state formation and political culture, international relations and conflict, political economy and trade, and colonial dynamics and sovereignty. In each domain, I identify the specific theoretical frameworks operationalized in the simulation, examine how they interact, and consider what the simulation's outputs reveal about the theories themselves.</w:t>
      </w:r>
    </w:p>
    <w:p>
      <w:pPr>
        <w:spacing w:after="0" w:before="240" w:line="480"/>
        <w:jc w:val="left"/>
      </w:pPr>
      <w:r>
        <w:rPr>
          <w:rFonts w:ascii="Times New Roman" w:cs="Times New Roman" w:eastAsia="Times New Roman" w:hAnsi="Times New Roman"/>
          <w:b/>
          <w:bCs/>
          <w:i w:val="false"/>
          <w:iCs w:val="false"/>
          <w:sz w:val="24"/>
          <w:szCs w:val="24"/>
        </w:rPr>
        <w:t xml:space="preserve">II. State Formation and Political Culture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simulation's approach to state formation begins with an explicitly Wittfogelian premise: the type of agriculture a civilization practices determines the structural logic of its political institutions. In Aeolia, a deterministic mapping assigns political culture types based on primary crop. Paddi, a tidal-flat grain requiring coordinated irrigation infrastructure, produces Subject political cultures characterized by centralized bureaucratic administration. Emmer, a temperate dryland grain amenable to independent cultivation, produces Civic cultures oriented toward competitive pluralism and mercantile institutions. Peripheral societies with neither staple crop default to Parochial cultures with village-level political organization.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This tripartite typology draws directly on Almond and Verba's classification of political cultures, updated through the lens of Inglehart and Welzel's cultural map. The simulation operationalizes these as a two-dimensional space: an awareness axis (ranging from parochial village identity to cosmopolitan consciousness) and a participation axis (ranging from subject obedience to civic autonomy). Each culture type occupies a distinct region of this space, and contact events—trade, colonization, garrison occupation—shift polities along both axes according to parameterized drift equations.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What makes this implementation theoretically interesting is that political culture is not merely descriptive but causally consequential. Culture types determine knowledge compounding rates, budget allocation ratios between expansion, technology, and consolidation, and the priors that govern strategic decision-making. A Civic polity compounds knowledge faster through dispersed maritime trade networks; a Subject polity consolidates more effectively through institutional channels. The simulation thus tests a strong version of the culturalist hypothesis: that political culture, once established by material conditions, becomes an independent causal force shaping development trajectories long after the originating conditions change.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Legitimacy in the simulation takes culturally specific forms that map onto Weberian ideal types. The Lattice (Subject culture) derives legitimacy from procedural regularity and functional competence—legal-rational authority expressed through bureaucratic constitutionalism. Officials audit officials; examinations are fair; the system survives dynasty transitions because the bureaucracy persists even as dynasties lose the Mandate. The Reach (Civic culture) derives legitimacy from individual liberty and competitive markets—a liberal pluralism constrained by mercantile institutions. These are not superficial flavor differences; they produce measurably different expansion patterns, responses to crisis, and colonial administration styles.</w:t>
      </w:r>
    </w:p>
    <w:p>
      <w:pPr>
        <w:spacing w:after="0" w:before="240" w:line="480"/>
        <w:jc w:val="left"/>
      </w:pPr>
      <w:r>
        <w:rPr>
          <w:rFonts w:ascii="Times New Roman" w:cs="Times New Roman" w:eastAsia="Times New Roman" w:hAnsi="Times New Roman"/>
          <w:b/>
          <w:bCs/>
          <w:i w:val="false"/>
          <w:iCs w:val="false"/>
          <w:sz w:val="24"/>
          <w:szCs w:val="24"/>
        </w:rPr>
        <w:t xml:space="preserve">III. International Relations and Strategic Interaction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simulation's international relations logic is built on a structured synthesis of realist IR theory. Every polity classifies its surplus and threat environment, then selects a strategic posture from a matrix that encodes distinct theoretical predictions. High capability paired with high threat produces offensive expansion—Mearsheimer's offensive realism, where great powers maximize relative power because the international system offers no guarantees. Medium capability paired with high threat drives alliance-seeking behavior, following Walt's balance-of-threat theory. Low capability paired with high threat produces bandwagoning or buck-passing, drawing on Schweller's analysis of revisionist states.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simulation's most theoretically ambitious IR mechanic is what it calls the Dark Forest Dilemma—the moment when two civilizations that have developed independently on opposite sides of the planet become aware of each other's existence. This operationalizes the security dilemma at civilizational scale. Awareness accumulates gradually through artifact evidence, radio traffic, and surveillance flights before any formal contact. The simulation tracks an 'otherAwareness' variable that rises from zero (unknown) through intermediate stages (rumors, identified capability, radio intercepts) to the moment of formal detection.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This mechanic encodes a specific theoretical claim: that first contact between civilizations is structurally analogous to the security dilemma because defensive measures (building fleets, fortifying positions, gathering intelligence) are indistinguishable from offensive preparations. The simulation's loss function—the optimization target that shapes parameter selection—penalizes Dark Forest breaks that occur too early (before nuclear deterrence is possible) or too late (after one side achieves overwhelming advantage), reflecting the theoretical prediction that stable deterrence requires approximate parity at the moment of mutual recognition.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Nuclear deterrence enters the simulation through energy economics. Naphtha (the planet's petroleum analogue) is finite; its depletion rate determines how quickly civilizations must transition to nuclear energy or face industrial collapse. Control of fissile material (Pu) becomes the decisive strategic resource, and the simulation models the resulting geopolitics: indigenous Pu production yields full fleet sovereignty, while fuel dependence produces structural vulnerability—a dynamic that echoes Cold War second-strike credibility debates and contemporary nuclear nonproliferation dilemmas.</w:t>
      </w:r>
    </w:p>
    <w:p>
      <w:pPr>
        <w:spacing w:after="0" w:before="240" w:line="480"/>
        <w:jc w:val="left"/>
      </w:pPr>
      <w:r>
        <w:rPr>
          <w:rFonts w:ascii="Times New Roman" w:cs="Times New Roman" w:eastAsia="Times New Roman" w:hAnsi="Times New Roman"/>
          <w:b/>
          <w:bCs/>
          <w:i w:val="false"/>
          <w:iCs w:val="false"/>
          <w:sz w:val="24"/>
          <w:szCs w:val="24"/>
        </w:rPr>
        <w:t xml:space="preserve">IV. Political Economy and Trade</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simulation's production function implements a Solow-Romer growth model with an explicit energy coupling term. Output is a function of capital, labor, and total factor productivity, where productivity itself depends on energy availability and accumulated knowledge stock. This represents a deliberate departure from standard macroeconomic models: following Ayres and Warr, energy is treated not as an input cost but as a fundamental production factor.</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Knowledge accumulation in the model follows an endogenous growth logic: the knowledge growth rate for any polity depends on its technology budget, its culture-specific compounding rate, and the logarithm of its trade contacts. This last term—knowledge as a function of network connectivity—operationalizes the insight that innovation depends not on isolated genius but on information flows between trading partners. Civic cultures, with their dispersed maritime networks, compound knowledge fastest; Subject cultures, with their institutional channels, accumulate more slowly but more reliably.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Trade in Aeolia operates through relay networks where goods pass hand-to-hand across intermediary archipelagos. Intermediaries profit from asymmetric information—knowing prices at both ends while trading partners do not. This structure draws on Greif's analysis of Maghribi trader coalitions, where information control rather than production efficiency determines trading advantage. The simulation encodes Prebisch-Singer dynamics: calorie-producing peripheries face structurally declining terms of trade relative to information-controlling bottleneck nodes.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simulation's loss function library includes a "Resource Curse" function that specifically rewards parameter configurations where the naphtha-rich hegemon stagnates while the naphtha-poor one industrializes first—a direct test of the Sachs-Warner hypothesis. This is one of several loss functions that function as formalized comparative politics hypotheses, each selecting for a different theoretical prediction about which structural conditions produce which developmental outcomes.</w:t>
      </w:r>
    </w:p>
    <w:p>
      <w:pPr>
        <w:spacing w:after="0" w:before="240" w:line="480"/>
        <w:jc w:val="left"/>
      </w:pPr>
      <w:r>
        <w:rPr>
          <w:rFonts w:ascii="Times New Roman" w:cs="Times New Roman" w:eastAsia="Times New Roman" w:hAnsi="Times New Roman"/>
          <w:b/>
          <w:bCs/>
          <w:i w:val="false"/>
          <w:iCs w:val="false"/>
          <w:sz w:val="24"/>
          <w:szCs w:val="24"/>
        </w:rPr>
        <w:t xml:space="preserve">V. Colonial Dynamics and Sovereignty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Aeolia models colonialism through a six-level status taxonomy that explicitly encodes Wallerstein's world-systems hierarchy. Polities exist along a spectrum from full sovereignty (uncontacted) through tributary, client, garrison, and colony statuses to full core integration. Each status carries parameterized sovereignty and trade integration values, and the simulation tracks how these shift over time as extraction pressures, epidemiological shocks, and institutional absorption reshape the relationship between core and periphery.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Crucially, the two hegemonic cultures administer their peripheries through structurally different mechanisms. The Reach (Civic) practices economic extraction: colonies lose sovereignty proportional to the extraction rate, producing wealth that flows to the commercial core. The Lattice (Subject) practices bureaucratic absorption: conquered populations are recruited into the administrative system, with permanent demographic transfer to the core. This distinction maps onto a real comparative politics question about whether commercial empires and bureaucratic empires produce different long-term outcomes for colonized populations.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 simulation models decolonization as an emergent process rather than an exogenous event. Sovereignty drifts upward as extraction burdens accumulate, and the post-nuclear era accelerates this recovery. Contact-driven culture drift increases awareness (cosmopolitan consciousness) while decreasing participation (civic autonomy) under colonial conditions—but when extraction exceeds a threshold, grievance drives participation upward, producing the conditions for organized resistance. This encodes a specific theoretical claim drawn from Scott's work on resistance: that colonial extraction is self-limiting because the material conditions of domination eventually generate the political consciousness needed to challenge it.</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Epidemiological shocks at first contact follow Diamond's conquest theory, with severity scaled by crop distance between civilizations—a proxy for pathogen divergence. Pre-exposed populations (those with prior relay-trade contact) suffer reduced severity, modeling the protective effect of gradual immunological exposure. The simulation thus treats epidemiology not as random catastrophe but as a structurally predictable consequence of isolation duration.</w:t>
      </w:r>
    </w:p>
    <w:p>
      <w:pPr>
        <w:spacing w:after="0" w:before="240" w:line="480"/>
        <w:jc w:val="left"/>
      </w:pPr>
      <w:r>
        <w:rPr>
          <w:rFonts w:ascii="Times New Roman" w:cs="Times New Roman" w:eastAsia="Times New Roman" w:hAnsi="Times New Roman"/>
          <w:b/>
          <w:bCs/>
          <w:i w:val="false"/>
          <w:iCs w:val="false"/>
          <w:sz w:val="24"/>
          <w:szCs w:val="24"/>
        </w:rPr>
        <w:t xml:space="preserve">VI. Loss Functions as Comparative Politics Hypotheses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Perhaps the most theoretically innovative aspect of Aeolia's design is its use of loss functions—optimization targets that guide parameter selection—as formalized political science hypotheses. The loss function library includes tests for symmetric hegemony (whether institutional design can override geographic asymmetry—Acemoglu and Robinson versus Diamond), multipolar equilibrium (whether anarchic systems converge to bipolarity as Waltz predicts or can sustain multipolarity through shared norms), total civilizational collapse (Tainter's complexity trap), and resource curse dynamics.</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Each loss function selects for parameter regions that make a specific theoretical prediction "true" within the simulation. The optimizer's task is to find configurations where the simulation produces outcomes consistent with each hypothesis. When the optimizer succeeds, it identifies the structural conditions under which that theory's predictions hold; when it fails, it reveals the theory's boundary conditions. This approach transforms the simulation from a narrative tool into a systematic method for exploring the parameter space of comparative politics theories—identifying not just whether a theory is plausible but under what specific conditions it would produce its predicted outcomes.</w:t>
      </w:r>
    </w:p>
    <w:p>
      <w:pPr>
        <w:spacing w:after="0" w:before="240" w:line="480"/>
        <w:jc w:val="left"/>
      </w:pPr>
      <w:r>
        <w:rPr>
          <w:rFonts w:ascii="Times New Roman" w:cs="Times New Roman" w:eastAsia="Times New Roman" w:hAnsi="Times New Roman"/>
          <w:b/>
          <w:bCs/>
          <w:i w:val="false"/>
          <w:iCs w:val="false"/>
          <w:sz w:val="24"/>
          <w:szCs w:val="24"/>
        </w:rPr>
        <w:t xml:space="preserve">VII. Conclusion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Aeolia demonstrates that computational simulation can serve as a productive bridge between formal and qualitative political science. By encoding theories of state formation, political culture, international relations, and colonial dynamics into parameterized mechanics, the project makes implicit theoretical assumptions explicit and testable. The crop-to-culture mapping forces a commitment to the relative weight of geographic determinism; the IR posture matrix demands specification of how capability and threat interact; the colonial status taxonomy requires precise claims about how extraction, absorption, and resistance relate to sovereignty.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This exercise reveals both the power and the limits of formalization. Some theories translate cleanly into simulation mechanics—Wittfogel's hydraulic hypothesis, Mearsheimer's offensive realism, Wallerstein's world-systems hierarchy. Others resist parameterization in revealing ways: legitimacy, for instance, operates in the simulation as a background condition shaping budget allocation rather than as a contested political resource. The simulation cannot model revolution, ideological conversion, or the kind of radical institutional rupture that characterizes many of the most consequential moments in political history.</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These limitations are themselves theoretically informative. They suggest that the aspects of political life most amenable to computational modeling are structural and material—geography, resources, demographics, trade networks—while the aspects most resistant to formalization are ideational and contingent—legitimacy, identity, moral progress, political imagination. A complete political science would need both, and Aeolia's contribution is to make the boundary between them visible.</w:t>
      </w:r>
    </w:p>
    <w:p>
      <w:r>
        <w:br w:type="page"/>
      </w:r>
    </w:p>
    <w:p>
      <w:pPr>
        <w:spacing w:after="0" w:before="0" w:line="480"/>
        <w:jc w:val="center"/>
      </w:pPr>
      <w:r>
        <w:rPr>
          <w:rFonts w:ascii="Times New Roman" w:cs="Times New Roman" w:eastAsia="Times New Roman" w:hAnsi="Times New Roman"/>
          <w:b/>
          <w:bCs/>
          <w:sz w:val="24"/>
          <w:szCs w:val="24"/>
        </w:rPr>
        <w:t xml:space="preserve">Bibliography</w:t>
      </w:r>
    </w:p>
    <w:p>
      <w:pPr>
        <w:spacing w:after="0" w:line="480"/>
      </w:pPr>
      <w:r>
        <w:rPr>
          <w:rFonts w:ascii="Times New Roman" w:cs="Times New Roman" w:eastAsia="Times New Roman" w:hAnsi="Times New Roman"/>
          <w:sz w:val="24"/>
          <w:szCs w:val="24"/>
        </w:rPr>
        <w:t xml:space="preserve"/>
      </w:r>
    </w:p>
    <w:p>
      <w:pPr>
        <w:spacing w:after="120" w:line="240"/>
        <w:ind w:left="720" w:hanging="720"/>
        <w:jc w:val="both"/>
      </w:pPr>
      <w:r>
        <w:rPr>
          <w:rFonts w:ascii="Times New Roman" w:cs="Times New Roman" w:eastAsia="Times New Roman" w:hAnsi="Times New Roman"/>
          <w:i w:val="false"/>
          <w:iCs w:val="false"/>
          <w:sz w:val="24"/>
          <w:szCs w:val="24"/>
        </w:rPr>
        <w:t xml:space="preserve">Abu-Lughod, Janet L. </w:t>
      </w:r>
      <w:r>
        <w:rPr>
          <w:rFonts w:ascii="Times New Roman" w:cs="Times New Roman" w:eastAsia="Times New Roman" w:hAnsi="Times New Roman"/>
          <w:i/>
          <w:iCs/>
          <w:sz w:val="24"/>
          <w:szCs w:val="24"/>
        </w:rPr>
        <w:t xml:space="preserve">Before European Hegemony: The World System A.D. 1250–1350.</w:t>
      </w:r>
      <w:r>
        <w:rPr>
          <w:rFonts w:ascii="Times New Roman" w:cs="Times New Roman" w:eastAsia="Times New Roman" w:hAnsi="Times New Roman"/>
          <w:i w:val="false"/>
          <w:iCs w:val="false"/>
          <w:sz w:val="24"/>
          <w:szCs w:val="24"/>
        </w:rPr>
        <w:t xml:space="preserve"> New York: Oxford University Press, 1989.</w:t>
      </w:r>
    </w:p>
    <w:p>
      <w:pPr>
        <w:spacing w:after="120" w:line="240"/>
        <w:ind w:left="720" w:hanging="720"/>
        <w:jc w:val="both"/>
      </w:pPr>
      <w:r>
        <w:rPr>
          <w:rFonts w:ascii="Times New Roman" w:cs="Times New Roman" w:eastAsia="Times New Roman" w:hAnsi="Times New Roman"/>
          <w:i w:val="false"/>
          <w:iCs w:val="false"/>
          <w:sz w:val="24"/>
          <w:szCs w:val="24"/>
        </w:rPr>
        <w:t xml:space="preserve">Acemoglu, Daron, and James A. Robinson. </w:t>
      </w:r>
      <w:r>
        <w:rPr>
          <w:rFonts w:ascii="Times New Roman" w:cs="Times New Roman" w:eastAsia="Times New Roman" w:hAnsi="Times New Roman"/>
          <w:i/>
          <w:iCs/>
          <w:sz w:val="24"/>
          <w:szCs w:val="24"/>
        </w:rPr>
        <w:t xml:space="preserve">Why Nations Fail: The Origins of Power, Prosperity, and Poverty.</w:t>
      </w:r>
      <w:r>
        <w:rPr>
          <w:rFonts w:ascii="Times New Roman" w:cs="Times New Roman" w:eastAsia="Times New Roman" w:hAnsi="Times New Roman"/>
          <w:i w:val="false"/>
          <w:iCs w:val="false"/>
          <w:sz w:val="24"/>
          <w:szCs w:val="24"/>
        </w:rPr>
        <w:t xml:space="preserve"> New York: Crown, 2012.</w:t>
      </w:r>
    </w:p>
    <w:p>
      <w:pPr>
        <w:spacing w:after="120" w:line="240"/>
        <w:ind w:left="720" w:hanging="720"/>
        <w:jc w:val="both"/>
      </w:pPr>
      <w:r>
        <w:rPr>
          <w:rFonts w:ascii="Times New Roman" w:cs="Times New Roman" w:eastAsia="Times New Roman" w:hAnsi="Times New Roman"/>
          <w:i w:val="false"/>
          <w:iCs w:val="false"/>
          <w:sz w:val="24"/>
          <w:szCs w:val="24"/>
        </w:rPr>
        <w:t xml:space="preserve">Almond, Gabriel A., and Sidney Verba. </w:t>
      </w:r>
      <w:r>
        <w:rPr>
          <w:rFonts w:ascii="Times New Roman" w:cs="Times New Roman" w:eastAsia="Times New Roman" w:hAnsi="Times New Roman"/>
          <w:i/>
          <w:iCs/>
          <w:sz w:val="24"/>
          <w:szCs w:val="24"/>
        </w:rPr>
        <w:t xml:space="preserve">The Civic Culture: Political Attitudes and Democracy in Five Nations.</w:t>
      </w:r>
      <w:r>
        <w:rPr>
          <w:rFonts w:ascii="Times New Roman" w:cs="Times New Roman" w:eastAsia="Times New Roman" w:hAnsi="Times New Roman"/>
          <w:i w:val="false"/>
          <w:iCs w:val="false"/>
          <w:sz w:val="24"/>
          <w:szCs w:val="24"/>
        </w:rPr>
        <w:t xml:space="preserve"> Princeton: Princeton University Press, 1963.</w:t>
      </w:r>
    </w:p>
    <w:p>
      <w:pPr>
        <w:spacing w:after="120" w:line="240"/>
        <w:ind w:left="720" w:hanging="720"/>
        <w:jc w:val="both"/>
      </w:pPr>
      <w:r>
        <w:rPr>
          <w:rFonts w:ascii="Times New Roman" w:cs="Times New Roman" w:eastAsia="Times New Roman" w:hAnsi="Times New Roman"/>
          <w:i w:val="false"/>
          <w:iCs w:val="false"/>
          <w:sz w:val="24"/>
          <w:szCs w:val="24"/>
        </w:rPr>
        <w:t xml:space="preserve">Axelrod, Robert. </w:t>
      </w:r>
      <w:r>
        <w:rPr>
          <w:rFonts w:ascii="Times New Roman" w:cs="Times New Roman" w:eastAsia="Times New Roman" w:hAnsi="Times New Roman"/>
          <w:i/>
          <w:iCs/>
          <w:sz w:val="24"/>
          <w:szCs w:val="24"/>
        </w:rPr>
        <w:t xml:space="preserve">The Evolution of Cooperation.</w:t>
      </w:r>
      <w:r>
        <w:rPr>
          <w:rFonts w:ascii="Times New Roman" w:cs="Times New Roman" w:eastAsia="Times New Roman" w:hAnsi="Times New Roman"/>
          <w:i w:val="false"/>
          <w:iCs w:val="false"/>
          <w:sz w:val="24"/>
          <w:szCs w:val="24"/>
        </w:rPr>
        <w:t xml:space="preserve"> New York: Basic Books, 1984.</w:t>
      </w:r>
    </w:p>
    <w:p>
      <w:pPr>
        <w:spacing w:after="120" w:line="240"/>
        <w:ind w:left="720" w:hanging="720"/>
        <w:jc w:val="both"/>
      </w:pPr>
      <w:r>
        <w:rPr>
          <w:rFonts w:ascii="Times New Roman" w:cs="Times New Roman" w:eastAsia="Times New Roman" w:hAnsi="Times New Roman"/>
          <w:i w:val="false"/>
          <w:iCs w:val="false"/>
          <w:sz w:val="24"/>
          <w:szCs w:val="24"/>
        </w:rPr>
        <w:t xml:space="preserve">Ayres, Robert J., and Benjamin Warr. </w:t>
      </w:r>
      <w:r>
        <w:rPr>
          <w:rFonts w:ascii="Times New Roman" w:cs="Times New Roman" w:eastAsia="Times New Roman" w:hAnsi="Times New Roman"/>
          <w:i/>
          <w:iCs/>
          <w:sz w:val="24"/>
          <w:szCs w:val="24"/>
        </w:rPr>
        <w:t xml:space="preserve">The Economic Growth Engine: How Energy and Work Drive Material Prosperity.</w:t>
      </w:r>
      <w:r>
        <w:rPr>
          <w:rFonts w:ascii="Times New Roman" w:cs="Times New Roman" w:eastAsia="Times New Roman" w:hAnsi="Times New Roman"/>
          <w:i w:val="false"/>
          <w:iCs w:val="false"/>
          <w:sz w:val="24"/>
          <w:szCs w:val="24"/>
        </w:rPr>
        <w:t xml:space="preserve"> Cheltenham: Edward Elgar, 2009.</w:t>
      </w:r>
    </w:p>
    <w:p>
      <w:pPr>
        <w:spacing w:after="120" w:line="240"/>
        <w:ind w:left="720" w:hanging="720"/>
        <w:jc w:val="both"/>
      </w:pPr>
      <w:r>
        <w:rPr>
          <w:rFonts w:ascii="Times New Roman" w:cs="Times New Roman" w:eastAsia="Times New Roman" w:hAnsi="Times New Roman"/>
          <w:i w:val="false"/>
          <w:iCs w:val="false"/>
          <w:sz w:val="24"/>
          <w:szCs w:val="24"/>
        </w:rPr>
        <w:t xml:space="preserve">Diamond, Jared. </w:t>
      </w:r>
      <w:r>
        <w:rPr>
          <w:rFonts w:ascii="Times New Roman" w:cs="Times New Roman" w:eastAsia="Times New Roman" w:hAnsi="Times New Roman"/>
          <w:i/>
          <w:iCs/>
          <w:sz w:val="24"/>
          <w:szCs w:val="24"/>
        </w:rPr>
        <w:t xml:space="preserve">Guns, Germs, and Steel: The Fates of Human Societies.</w:t>
      </w:r>
      <w:r>
        <w:rPr>
          <w:rFonts w:ascii="Times New Roman" w:cs="Times New Roman" w:eastAsia="Times New Roman" w:hAnsi="Times New Roman"/>
          <w:i w:val="false"/>
          <w:iCs w:val="false"/>
          <w:sz w:val="24"/>
          <w:szCs w:val="24"/>
        </w:rPr>
        <w:t xml:space="preserve"> New York: W. W. Norton, 1997.</w:t>
      </w:r>
    </w:p>
    <w:p>
      <w:pPr>
        <w:spacing w:after="120" w:line="240"/>
        <w:ind w:left="720" w:hanging="720"/>
        <w:jc w:val="both"/>
      </w:pPr>
      <w:r>
        <w:rPr>
          <w:rFonts w:ascii="Times New Roman" w:cs="Times New Roman" w:eastAsia="Times New Roman" w:hAnsi="Times New Roman"/>
          <w:i w:val="false"/>
          <w:iCs w:val="false"/>
          <w:sz w:val="24"/>
          <w:szCs w:val="24"/>
        </w:rPr>
        <w:t xml:space="preserve">Greif, Avner. "Reputation and Coalitions in Medieval Trade: Evidence on the Maghribi Traders." </w:t>
      </w:r>
      <w:r>
        <w:rPr>
          <w:rFonts w:ascii="Times New Roman" w:cs="Times New Roman" w:eastAsia="Times New Roman" w:hAnsi="Times New Roman"/>
          <w:i/>
          <w:iCs/>
          <w:sz w:val="24"/>
          <w:szCs w:val="24"/>
        </w:rPr>
        <w:t xml:space="preserve">Journal of Economic History</w:t>
      </w:r>
      <w:r>
        <w:rPr>
          <w:rFonts w:ascii="Times New Roman" w:cs="Times New Roman" w:eastAsia="Times New Roman" w:hAnsi="Times New Roman"/>
          <w:i w:val="false"/>
          <w:iCs w:val="false"/>
          <w:sz w:val="24"/>
          <w:szCs w:val="24"/>
        </w:rPr>
        <w:t xml:space="preserve"> 49, no. 4 (1989): 857–882.</w:t>
      </w:r>
    </w:p>
    <w:p>
      <w:pPr>
        <w:spacing w:after="120" w:line="240"/>
        <w:ind w:left="720" w:hanging="720"/>
        <w:jc w:val="both"/>
      </w:pPr>
      <w:r>
        <w:rPr>
          <w:rFonts w:ascii="Times New Roman" w:cs="Times New Roman" w:eastAsia="Times New Roman" w:hAnsi="Times New Roman"/>
          <w:i w:val="false"/>
          <w:iCs w:val="false"/>
          <w:sz w:val="24"/>
          <w:szCs w:val="24"/>
        </w:rPr>
        <w:t xml:space="preserve">Inglehart, Ronald, and Christian Welzel. </w:t>
      </w:r>
      <w:r>
        <w:rPr>
          <w:rFonts w:ascii="Times New Roman" w:cs="Times New Roman" w:eastAsia="Times New Roman" w:hAnsi="Times New Roman"/>
          <w:i/>
          <w:iCs/>
          <w:sz w:val="24"/>
          <w:szCs w:val="24"/>
        </w:rPr>
        <w:t xml:space="preserve">Modernization, Cultural Change, and Democracy: The Human Development Sequence.</w:t>
      </w:r>
      <w:r>
        <w:rPr>
          <w:rFonts w:ascii="Times New Roman" w:cs="Times New Roman" w:eastAsia="Times New Roman" w:hAnsi="Times New Roman"/>
          <w:i w:val="false"/>
          <w:iCs w:val="false"/>
          <w:sz w:val="24"/>
          <w:szCs w:val="24"/>
        </w:rPr>
        <w:t xml:space="preserve"> Cambridge: Cambridge University Press, 2005.</w:t>
      </w:r>
    </w:p>
    <w:p>
      <w:pPr>
        <w:spacing w:after="120" w:line="240"/>
        <w:ind w:left="720" w:hanging="720"/>
        <w:jc w:val="both"/>
      </w:pPr>
      <w:r>
        <w:rPr>
          <w:rFonts w:ascii="Times New Roman" w:cs="Times New Roman" w:eastAsia="Times New Roman" w:hAnsi="Times New Roman"/>
          <w:i w:val="false"/>
          <w:iCs w:val="false"/>
          <w:sz w:val="24"/>
          <w:szCs w:val="24"/>
        </w:rPr>
        <w:t xml:space="preserve">Jervis, Robert. </w:t>
      </w:r>
      <w:r>
        <w:rPr>
          <w:rFonts w:ascii="Times New Roman" w:cs="Times New Roman" w:eastAsia="Times New Roman" w:hAnsi="Times New Roman"/>
          <w:i/>
          <w:iCs/>
          <w:sz w:val="24"/>
          <w:szCs w:val="24"/>
        </w:rPr>
        <w:t xml:space="preserve">Perception and Misperception in International Politics.</w:t>
      </w:r>
      <w:r>
        <w:rPr>
          <w:rFonts w:ascii="Times New Roman" w:cs="Times New Roman" w:eastAsia="Times New Roman" w:hAnsi="Times New Roman"/>
          <w:i w:val="false"/>
          <w:iCs w:val="false"/>
          <w:sz w:val="24"/>
          <w:szCs w:val="24"/>
        </w:rPr>
        <w:t xml:space="preserve"> Princeton: Princeton University Press, 1976.</w:t>
      </w:r>
    </w:p>
    <w:p>
      <w:pPr>
        <w:spacing w:after="120" w:line="240"/>
        <w:ind w:left="720" w:hanging="720"/>
        <w:jc w:val="both"/>
      </w:pPr>
      <w:r>
        <w:rPr>
          <w:rFonts w:ascii="Times New Roman" w:cs="Times New Roman" w:eastAsia="Times New Roman" w:hAnsi="Times New Roman"/>
          <w:i w:val="false"/>
          <w:iCs w:val="false"/>
          <w:sz w:val="24"/>
          <w:szCs w:val="24"/>
        </w:rPr>
        <w:t xml:space="preserve">Mearsheimer, John J. </w:t>
      </w:r>
      <w:r>
        <w:rPr>
          <w:rFonts w:ascii="Times New Roman" w:cs="Times New Roman" w:eastAsia="Times New Roman" w:hAnsi="Times New Roman"/>
          <w:i/>
          <w:iCs/>
          <w:sz w:val="24"/>
          <w:szCs w:val="24"/>
        </w:rPr>
        <w:t xml:space="preserve">The Tragedy of Great Power Politics.</w:t>
      </w:r>
      <w:r>
        <w:rPr>
          <w:rFonts w:ascii="Times New Roman" w:cs="Times New Roman" w:eastAsia="Times New Roman" w:hAnsi="Times New Roman"/>
          <w:i w:val="false"/>
          <w:iCs w:val="false"/>
          <w:sz w:val="24"/>
          <w:szCs w:val="24"/>
        </w:rPr>
        <w:t xml:space="preserve"> New York: W. W. Norton, 2001.</w:t>
      </w:r>
    </w:p>
    <w:p>
      <w:pPr>
        <w:spacing w:after="120" w:line="240"/>
        <w:ind w:left="720" w:hanging="720"/>
        <w:jc w:val="both"/>
      </w:pPr>
      <w:r>
        <w:rPr>
          <w:rFonts w:ascii="Times New Roman" w:cs="Times New Roman" w:eastAsia="Times New Roman" w:hAnsi="Times New Roman"/>
          <w:i w:val="false"/>
          <w:iCs w:val="false"/>
          <w:sz w:val="24"/>
          <w:szCs w:val="24"/>
        </w:rPr>
        <w:t xml:space="preserve">North, Douglass C., John Joseph Wallis, and Barry R. Weingast. </w:t>
      </w:r>
      <w:r>
        <w:rPr>
          <w:rFonts w:ascii="Times New Roman" w:cs="Times New Roman" w:eastAsia="Times New Roman" w:hAnsi="Times New Roman"/>
          <w:i/>
          <w:iCs/>
          <w:sz w:val="24"/>
          <w:szCs w:val="24"/>
        </w:rPr>
        <w:t xml:space="preserve">Violence and Social Orders: A Conceptual Framework for Interpreting Recorded Human History.</w:t>
      </w:r>
      <w:r>
        <w:rPr>
          <w:rFonts w:ascii="Times New Roman" w:cs="Times New Roman" w:eastAsia="Times New Roman" w:hAnsi="Times New Roman"/>
          <w:i w:val="false"/>
          <w:iCs w:val="false"/>
          <w:sz w:val="24"/>
          <w:szCs w:val="24"/>
        </w:rPr>
        <w:t xml:space="preserve"> Cambridge: Cambridge University Press, 2009.</w:t>
      </w:r>
    </w:p>
    <w:p>
      <w:pPr>
        <w:spacing w:after="120" w:line="240"/>
        <w:ind w:left="720" w:hanging="720"/>
        <w:jc w:val="both"/>
      </w:pPr>
      <w:r>
        <w:rPr>
          <w:rFonts w:ascii="Times New Roman" w:cs="Times New Roman" w:eastAsia="Times New Roman" w:hAnsi="Times New Roman"/>
          <w:i w:val="false"/>
          <w:iCs w:val="false"/>
          <w:sz w:val="24"/>
          <w:szCs w:val="24"/>
        </w:rPr>
        <w:t xml:space="preserve">Prebisch, Raúl. </w:t>
      </w:r>
      <w:r>
        <w:rPr>
          <w:rFonts w:ascii="Times New Roman" w:cs="Times New Roman" w:eastAsia="Times New Roman" w:hAnsi="Times New Roman"/>
          <w:i/>
          <w:iCs/>
          <w:sz w:val="24"/>
          <w:szCs w:val="24"/>
        </w:rPr>
        <w:t xml:space="preserve">The Economic Development of Latin America and Its Principal Problems.</w:t>
      </w:r>
      <w:r>
        <w:rPr>
          <w:rFonts w:ascii="Times New Roman" w:cs="Times New Roman" w:eastAsia="Times New Roman" w:hAnsi="Times New Roman"/>
          <w:i w:val="false"/>
          <w:iCs w:val="false"/>
          <w:sz w:val="24"/>
          <w:szCs w:val="24"/>
        </w:rPr>
        <w:t xml:space="preserve"> New York: United Nations, 1950.</w:t>
      </w:r>
    </w:p>
    <w:p>
      <w:pPr>
        <w:spacing w:after="120" w:line="240"/>
        <w:ind w:left="720" w:hanging="720"/>
        <w:jc w:val="both"/>
      </w:pPr>
      <w:r>
        <w:rPr>
          <w:rFonts w:ascii="Times New Roman" w:cs="Times New Roman" w:eastAsia="Times New Roman" w:hAnsi="Times New Roman"/>
          <w:i w:val="false"/>
          <w:iCs w:val="false"/>
          <w:sz w:val="24"/>
          <w:szCs w:val="24"/>
        </w:rPr>
        <w:t xml:space="preserve">Romer, Paul M. "Endogenous Technological Change." </w:t>
      </w:r>
      <w:r>
        <w:rPr>
          <w:rFonts w:ascii="Times New Roman" w:cs="Times New Roman" w:eastAsia="Times New Roman" w:hAnsi="Times New Roman"/>
          <w:i/>
          <w:iCs/>
          <w:sz w:val="24"/>
          <w:szCs w:val="24"/>
        </w:rPr>
        <w:t xml:space="preserve">Journal of Political Economy</w:t>
      </w:r>
      <w:r>
        <w:rPr>
          <w:rFonts w:ascii="Times New Roman" w:cs="Times New Roman" w:eastAsia="Times New Roman" w:hAnsi="Times New Roman"/>
          <w:i w:val="false"/>
          <w:iCs w:val="false"/>
          <w:sz w:val="24"/>
          <w:szCs w:val="24"/>
        </w:rPr>
        <w:t xml:space="preserve"> 98, no. 5 (1990): S71–S102.</w:t>
      </w:r>
    </w:p>
    <w:p>
      <w:pPr>
        <w:spacing w:after="120" w:line="240"/>
        <w:ind w:left="720" w:hanging="720"/>
        <w:jc w:val="both"/>
      </w:pPr>
      <w:r>
        <w:rPr>
          <w:rFonts w:ascii="Times New Roman" w:cs="Times New Roman" w:eastAsia="Times New Roman" w:hAnsi="Times New Roman"/>
          <w:i w:val="false"/>
          <w:iCs w:val="false"/>
          <w:sz w:val="24"/>
          <w:szCs w:val="24"/>
        </w:rPr>
        <w:t xml:space="preserve">Sachs, Jeffrey D., and Andrew M. Warner. "Natural Resource Abundance and Economic Growth." NBER Working Paper No. 5398, 1995.</w:t>
      </w:r>
    </w:p>
    <w:p>
      <w:pPr>
        <w:spacing w:after="120" w:line="240"/>
        <w:ind w:left="720" w:hanging="720"/>
        <w:jc w:val="both"/>
      </w:pPr>
      <w:r>
        <w:rPr>
          <w:rFonts w:ascii="Times New Roman" w:cs="Times New Roman" w:eastAsia="Times New Roman" w:hAnsi="Times New Roman"/>
          <w:i w:val="false"/>
          <w:iCs w:val="false"/>
          <w:sz w:val="24"/>
          <w:szCs w:val="24"/>
        </w:rPr>
        <w:t xml:space="preserve">Schweller, Randall L. "Bandwagoning for Profit: Bringing the Revisionist State Back In." </w:t>
      </w:r>
      <w:r>
        <w:rPr>
          <w:rFonts w:ascii="Times New Roman" w:cs="Times New Roman" w:eastAsia="Times New Roman" w:hAnsi="Times New Roman"/>
          <w:i/>
          <w:iCs/>
          <w:sz w:val="24"/>
          <w:szCs w:val="24"/>
        </w:rPr>
        <w:t xml:space="preserve">International Security</w:t>
      </w:r>
      <w:r>
        <w:rPr>
          <w:rFonts w:ascii="Times New Roman" w:cs="Times New Roman" w:eastAsia="Times New Roman" w:hAnsi="Times New Roman"/>
          <w:i w:val="false"/>
          <w:iCs w:val="false"/>
          <w:sz w:val="24"/>
          <w:szCs w:val="24"/>
        </w:rPr>
        <w:t xml:space="preserve"> 19, no. 1 (1994): 72–107.</w:t>
      </w:r>
    </w:p>
    <w:p>
      <w:pPr>
        <w:spacing w:after="120" w:line="240"/>
        <w:ind w:left="720" w:hanging="720"/>
        <w:jc w:val="both"/>
      </w:pPr>
      <w:r>
        <w:rPr>
          <w:rFonts w:ascii="Times New Roman" w:cs="Times New Roman" w:eastAsia="Times New Roman" w:hAnsi="Times New Roman"/>
          <w:i w:val="false"/>
          <w:iCs w:val="false"/>
          <w:sz w:val="24"/>
          <w:szCs w:val="24"/>
        </w:rPr>
        <w:t xml:space="preserve">Scott, James C. </w:t>
      </w:r>
      <w:r>
        <w:rPr>
          <w:rFonts w:ascii="Times New Roman" w:cs="Times New Roman" w:eastAsia="Times New Roman" w:hAnsi="Times New Roman"/>
          <w:i/>
          <w:iCs/>
          <w:sz w:val="24"/>
          <w:szCs w:val="24"/>
        </w:rPr>
        <w:t xml:space="preserve">Domination and the Arts of Resistance: Hidden Transcripts.</w:t>
      </w:r>
      <w:r>
        <w:rPr>
          <w:rFonts w:ascii="Times New Roman" w:cs="Times New Roman" w:eastAsia="Times New Roman" w:hAnsi="Times New Roman"/>
          <w:i w:val="false"/>
          <w:iCs w:val="false"/>
          <w:sz w:val="24"/>
          <w:szCs w:val="24"/>
        </w:rPr>
        <w:t xml:space="preserve"> New Haven: Yale University Press, 1990.</w:t>
      </w:r>
    </w:p>
    <w:p>
      <w:pPr>
        <w:spacing w:after="120" w:line="240"/>
        <w:ind w:left="720" w:hanging="720"/>
        <w:jc w:val="both"/>
      </w:pPr>
      <w:r>
        <w:rPr>
          <w:rFonts w:ascii="Times New Roman" w:cs="Times New Roman" w:eastAsia="Times New Roman" w:hAnsi="Times New Roman"/>
          <w:i w:val="false"/>
          <w:iCs w:val="false"/>
          <w:sz w:val="24"/>
          <w:szCs w:val="24"/>
        </w:rPr>
        <w:t xml:space="preserve">Solow, Robert M. "A Contribution to the Theory of Economic Growth." </w:t>
      </w:r>
      <w:r>
        <w:rPr>
          <w:rFonts w:ascii="Times New Roman" w:cs="Times New Roman" w:eastAsia="Times New Roman" w:hAnsi="Times New Roman"/>
          <w:i/>
          <w:iCs/>
          <w:sz w:val="24"/>
          <w:szCs w:val="24"/>
        </w:rPr>
        <w:t xml:space="preserve">Quarterly Journal of Economics</w:t>
      </w:r>
      <w:r>
        <w:rPr>
          <w:rFonts w:ascii="Times New Roman" w:cs="Times New Roman" w:eastAsia="Times New Roman" w:hAnsi="Times New Roman"/>
          <w:i w:val="false"/>
          <w:iCs w:val="false"/>
          <w:sz w:val="24"/>
          <w:szCs w:val="24"/>
        </w:rPr>
        <w:t xml:space="preserve"> 70, no. 1 (1956): 65–94.</w:t>
      </w:r>
    </w:p>
    <w:p>
      <w:pPr>
        <w:spacing w:after="120" w:line="240"/>
        <w:ind w:left="720" w:hanging="720"/>
        <w:jc w:val="both"/>
      </w:pPr>
      <w:r>
        <w:rPr>
          <w:rFonts w:ascii="Times New Roman" w:cs="Times New Roman" w:eastAsia="Times New Roman" w:hAnsi="Times New Roman"/>
          <w:i w:val="false"/>
          <w:iCs w:val="false"/>
          <w:sz w:val="24"/>
          <w:szCs w:val="24"/>
        </w:rPr>
        <w:t xml:space="preserve">Tainter, Joseph A. </w:t>
      </w:r>
      <w:r>
        <w:rPr>
          <w:rFonts w:ascii="Times New Roman" w:cs="Times New Roman" w:eastAsia="Times New Roman" w:hAnsi="Times New Roman"/>
          <w:i/>
          <w:iCs/>
          <w:sz w:val="24"/>
          <w:szCs w:val="24"/>
        </w:rPr>
        <w:t xml:space="preserve">The Collapse of Complex Societies.</w:t>
      </w:r>
      <w:r>
        <w:rPr>
          <w:rFonts w:ascii="Times New Roman" w:cs="Times New Roman" w:eastAsia="Times New Roman" w:hAnsi="Times New Roman"/>
          <w:i w:val="false"/>
          <w:iCs w:val="false"/>
          <w:sz w:val="24"/>
          <w:szCs w:val="24"/>
        </w:rPr>
        <w:t xml:space="preserve"> Cambridge: Cambridge University Press, 1988.</w:t>
      </w:r>
    </w:p>
    <w:p>
      <w:pPr>
        <w:spacing w:after="120" w:line="240"/>
        <w:ind w:left="720" w:hanging="720"/>
        <w:jc w:val="both"/>
      </w:pPr>
      <w:r>
        <w:rPr>
          <w:rFonts w:ascii="Times New Roman" w:cs="Times New Roman" w:eastAsia="Times New Roman" w:hAnsi="Times New Roman"/>
          <w:i w:val="false"/>
          <w:iCs w:val="false"/>
          <w:sz w:val="24"/>
          <w:szCs w:val="24"/>
        </w:rPr>
        <w:t xml:space="preserve">Wallerstein, Immanuel. </w:t>
      </w:r>
      <w:r>
        <w:rPr>
          <w:rFonts w:ascii="Times New Roman" w:cs="Times New Roman" w:eastAsia="Times New Roman" w:hAnsi="Times New Roman"/>
          <w:i/>
          <w:iCs/>
          <w:sz w:val="24"/>
          <w:szCs w:val="24"/>
        </w:rPr>
        <w:t xml:space="preserve">The Modern World-System I: Capitalist Agriculture and the Origins of the European World-Economy in the Sixteenth Century.</w:t>
      </w:r>
      <w:r>
        <w:rPr>
          <w:rFonts w:ascii="Times New Roman" w:cs="Times New Roman" w:eastAsia="Times New Roman" w:hAnsi="Times New Roman"/>
          <w:i w:val="false"/>
          <w:iCs w:val="false"/>
          <w:sz w:val="24"/>
          <w:szCs w:val="24"/>
        </w:rPr>
        <w:t xml:space="preserve"> New York: Academic Press, 1974.</w:t>
      </w:r>
    </w:p>
    <w:p>
      <w:pPr>
        <w:spacing w:after="120" w:line="240"/>
        <w:ind w:left="720" w:hanging="720"/>
        <w:jc w:val="both"/>
      </w:pPr>
      <w:r>
        <w:rPr>
          <w:rFonts w:ascii="Times New Roman" w:cs="Times New Roman" w:eastAsia="Times New Roman" w:hAnsi="Times New Roman"/>
          <w:i w:val="false"/>
          <w:iCs w:val="false"/>
          <w:sz w:val="24"/>
          <w:szCs w:val="24"/>
        </w:rPr>
        <w:t xml:space="preserve">Walt, Stephen M. </w:t>
      </w:r>
      <w:r>
        <w:rPr>
          <w:rFonts w:ascii="Times New Roman" w:cs="Times New Roman" w:eastAsia="Times New Roman" w:hAnsi="Times New Roman"/>
          <w:i/>
          <w:iCs/>
          <w:sz w:val="24"/>
          <w:szCs w:val="24"/>
        </w:rPr>
        <w:t xml:space="preserve">The Origins of Alliances.</w:t>
      </w:r>
      <w:r>
        <w:rPr>
          <w:rFonts w:ascii="Times New Roman" w:cs="Times New Roman" w:eastAsia="Times New Roman" w:hAnsi="Times New Roman"/>
          <w:i w:val="false"/>
          <w:iCs w:val="false"/>
          <w:sz w:val="24"/>
          <w:szCs w:val="24"/>
        </w:rPr>
        <w:t xml:space="preserve"> Ithaca: Cornell University Press, 1987.</w:t>
      </w:r>
    </w:p>
    <w:p>
      <w:pPr>
        <w:spacing w:after="120" w:line="240"/>
        <w:ind w:left="720" w:hanging="720"/>
        <w:jc w:val="both"/>
      </w:pPr>
      <w:r>
        <w:rPr>
          <w:rFonts w:ascii="Times New Roman" w:cs="Times New Roman" w:eastAsia="Times New Roman" w:hAnsi="Times New Roman"/>
          <w:i w:val="false"/>
          <w:iCs w:val="false"/>
          <w:sz w:val="24"/>
          <w:szCs w:val="24"/>
        </w:rPr>
        <w:t xml:space="preserve">Weber, Max. </w:t>
      </w:r>
      <w:r>
        <w:rPr>
          <w:rFonts w:ascii="Times New Roman" w:cs="Times New Roman" w:eastAsia="Times New Roman" w:hAnsi="Times New Roman"/>
          <w:i/>
          <w:iCs/>
          <w:sz w:val="24"/>
          <w:szCs w:val="24"/>
        </w:rPr>
        <w:t xml:space="preserve">Economy and Society.</w:t>
      </w:r>
      <w:r>
        <w:rPr>
          <w:rFonts w:ascii="Times New Roman" w:cs="Times New Roman" w:eastAsia="Times New Roman" w:hAnsi="Times New Roman"/>
          <w:i w:val="false"/>
          <w:iCs w:val="false"/>
          <w:sz w:val="24"/>
          <w:szCs w:val="24"/>
        </w:rPr>
        <w:t xml:space="preserve"> Edited by Guenther Roth and Claus Wittich. Berkeley: University of California Press, 1978.</w:t>
      </w:r>
    </w:p>
    <w:p>
      <w:pPr>
        <w:spacing w:after="120" w:line="240"/>
        <w:ind w:left="720" w:hanging="720"/>
        <w:jc w:val="both"/>
      </w:pPr>
      <w:r>
        <w:rPr>
          <w:rFonts w:ascii="Times New Roman" w:cs="Times New Roman" w:eastAsia="Times New Roman" w:hAnsi="Times New Roman"/>
          <w:i w:val="false"/>
          <w:iCs w:val="false"/>
          <w:sz w:val="24"/>
          <w:szCs w:val="24"/>
        </w:rPr>
        <w:t xml:space="preserve">Wittfogel, Karl A. </w:t>
      </w:r>
      <w:r>
        <w:rPr>
          <w:rFonts w:ascii="Times New Roman" w:cs="Times New Roman" w:eastAsia="Times New Roman" w:hAnsi="Times New Roman"/>
          <w:i/>
          <w:iCs/>
          <w:sz w:val="24"/>
          <w:szCs w:val="24"/>
        </w:rPr>
        <w:t xml:space="preserve">Oriental Despotism: A Comparative Study of Total Power.</w:t>
      </w:r>
      <w:r>
        <w:rPr>
          <w:rFonts w:ascii="Times New Roman" w:cs="Times New Roman" w:eastAsia="Times New Roman" w:hAnsi="Times New Roman"/>
          <w:i w:val="false"/>
          <w:iCs w:val="false"/>
          <w:sz w:val="24"/>
          <w:szCs w:val="24"/>
        </w:rPr>
        <w:t xml:space="preserve"> New Haven: Yale University Press, 1957.</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sz w:val="20"/>
        <w:szCs w:val="20"/>
      </w:rPr>
      <w:t xml:space="preserve">DRAFT —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2026-04-08T20:20:56.971Z</dcterms:created>
  <dcterms:modified xsi:type="dcterms:W3CDTF">2026-04-08T20:20:56.973Z</dcterms:modified>
</cp:coreProperties>
</file>

<file path=docProps/custom.xml><?xml version="1.0" encoding="utf-8"?>
<Properties xmlns="http://schemas.openxmlformats.org/officeDocument/2006/custom-properties" xmlns:vt="http://schemas.openxmlformats.org/officeDocument/2006/docPropsVTypes"/>
</file>