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eurologische-untersuchung"/>
      <w:r>
        <w:t xml:space="preserve">Neurologische Untersuchung</w:t>
      </w:r>
      <w:bookmarkEnd w:id="20"/>
    </w:p>
    <w:p>
      <w:pPr>
        <w:pStyle w:val="FirstParagraph"/>
      </w:pPr>
      <w:r>
        <w:t xml:space="preserve">XXX ist</w:t>
      </w:r>
    </w:p>
    <w:p>
      <w:pPr>
        <w:numPr>
          <w:ilvl w:val="0"/>
          <w:numId w:val="1001"/>
        </w:numPr>
        <w:pStyle w:val="Compact"/>
      </w:pPr>
      <w:r>
        <w:t xml:space="preserve">oriniert zur allen Qualitäten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orintiert</w:t>
      </w:r>
      <w:r>
        <w:t xml:space="preserve">,</w:t>
      </w:r>
      <w:r>
        <w:t xml:space="preserve"> </w:t>
      </w:r>
      <w:r>
        <w:rPr>
          <w:i/>
        </w:rPr>
        <w:t xml:space="preserve">unscharf orientiert</w:t>
      </w:r>
      <w:r>
        <w:t xml:space="preserve">,</w:t>
      </w:r>
      <w:r>
        <w:t xml:space="preserve"> </w:t>
      </w:r>
      <w:r>
        <w:rPr>
          <w:i/>
        </w:rPr>
        <w:t xml:space="preserve">nicht orientiert</w:t>
      </w:r>
      <w:r>
        <w:t xml:space="preserve"> </w:t>
      </w:r>
      <w:r>
        <w:t xml:space="preserve">zur Zeit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orintiert</w:t>
      </w:r>
      <w:r>
        <w:t xml:space="preserve">,</w:t>
      </w:r>
      <w:r>
        <w:t xml:space="preserve"> </w:t>
      </w:r>
      <w:r>
        <w:rPr>
          <w:i/>
        </w:rPr>
        <w:t xml:space="preserve">unscharf orientiert</w:t>
      </w:r>
      <w:r>
        <w:t xml:space="preserve">,</w:t>
      </w:r>
      <w:r>
        <w:t xml:space="preserve"> </w:t>
      </w:r>
      <w:r>
        <w:rPr>
          <w:i/>
        </w:rPr>
        <w:t xml:space="preserve">nicht orientiert</w:t>
      </w:r>
      <w:r>
        <w:t xml:space="preserve"> </w:t>
      </w:r>
      <w:r>
        <w:t xml:space="preserve">zum Ort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orintiert</w:t>
      </w:r>
      <w:r>
        <w:t xml:space="preserve">,</w:t>
      </w:r>
      <w:r>
        <w:t xml:space="preserve"> </w:t>
      </w:r>
      <w:r>
        <w:rPr>
          <w:i/>
        </w:rPr>
        <w:t xml:space="preserve">unscharf orientiert</w:t>
      </w:r>
      <w:r>
        <w:t xml:space="preserve">,</w:t>
      </w:r>
      <w:r>
        <w:t xml:space="preserve"> </w:t>
      </w:r>
      <w:r>
        <w:rPr>
          <w:i/>
        </w:rPr>
        <w:t xml:space="preserve">nicht orientiert</w:t>
      </w:r>
      <w:r>
        <w:t xml:space="preserve"> </w:t>
      </w:r>
      <w:r>
        <w:t xml:space="preserve">zur Person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orintiert</w:t>
      </w:r>
      <w:r>
        <w:t xml:space="preserve">,</w:t>
      </w:r>
      <w:r>
        <w:t xml:space="preserve"> </w:t>
      </w:r>
      <w:r>
        <w:rPr>
          <w:i/>
        </w:rPr>
        <w:t xml:space="preserve">unscharf orientiert</w:t>
      </w:r>
      <w:r>
        <w:t xml:space="preserve">,</w:t>
      </w:r>
      <w:r>
        <w:t xml:space="preserve"> </w:t>
      </w:r>
      <w:r>
        <w:rPr>
          <w:i/>
        </w:rPr>
        <w:t xml:space="preserve">nicht orientiert</w:t>
      </w:r>
      <w:r>
        <w:t xml:space="preserve"> </w:t>
      </w:r>
      <w:r>
        <w:t xml:space="preserve">zur Situation</w:t>
      </w:r>
    </w:p>
    <w:p>
      <w:pPr>
        <w:pStyle w:val="Heading2"/>
      </w:pPr>
      <w:bookmarkStart w:id="21" w:name="vigilanz"/>
      <w:r>
        <w:t xml:space="preserve">Vigilanz</w:t>
      </w:r>
      <w:bookmarkEnd w:id="21"/>
    </w:p>
    <w:p>
      <w:pPr>
        <w:pStyle w:val="FirstParagraph"/>
      </w:pPr>
      <w:r>
        <w:t xml:space="preserve">XXX ist</w:t>
      </w:r>
      <w:r>
        <w:t xml:space="preserve"> </w:t>
      </w:r>
      <w:r>
        <w:rPr>
          <w:i/>
        </w:rPr>
        <w:t xml:space="preserve">wach</w:t>
      </w:r>
      <w:r>
        <w:t xml:space="preserve">,</w:t>
      </w:r>
      <w:r>
        <w:t xml:space="preserve"> </w:t>
      </w:r>
      <w:r>
        <w:rPr>
          <w:i/>
        </w:rPr>
        <w:t xml:space="preserve">somnolent</w:t>
      </w:r>
      <w:r>
        <w:t xml:space="preserve">,</w:t>
      </w:r>
      <w:r>
        <w:t xml:space="preserve"> </w:t>
      </w:r>
      <w:r>
        <w:rPr>
          <w:i/>
        </w:rPr>
        <w:t xml:space="preserve">soporös</w:t>
      </w:r>
      <w:r>
        <w:t xml:space="preserve">,</w:t>
      </w:r>
      <w:r>
        <w:t xml:space="preserve"> </w:t>
      </w:r>
      <w:r>
        <w:rPr>
          <w:i/>
        </w:rPr>
        <w:t xml:space="preserve">komatös</w:t>
      </w:r>
    </w:p>
    <w:p>
      <w:pPr>
        <w:pStyle w:val="Heading2"/>
      </w:pPr>
      <w:bookmarkStart w:id="22" w:name="hirnnervenbefund"/>
      <w:r>
        <w:t xml:space="preserve">Hirnnervenbefund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I</w:t>
      </w:r>
    </w:p>
    <w:p>
      <w:pPr>
        <w:numPr>
          <w:ilvl w:val="0"/>
          <w:numId w:val="1002"/>
        </w:numPr>
        <w:pStyle w:val="Compact"/>
      </w:pPr>
      <w:r>
        <w:t xml:space="preserve">II</w:t>
      </w:r>
    </w:p>
    <w:p>
      <w:pPr>
        <w:numPr>
          <w:ilvl w:val="0"/>
          <w:numId w:val="1002"/>
        </w:numPr>
        <w:pStyle w:val="Compact"/>
      </w:pPr>
      <w:r>
        <w:t xml:space="preserve">III</w:t>
      </w:r>
    </w:p>
    <w:p>
      <w:pPr>
        <w:numPr>
          <w:ilvl w:val="0"/>
          <w:numId w:val="1002"/>
        </w:numPr>
        <w:pStyle w:val="Compact"/>
      </w:pPr>
      <w:r>
        <w:t xml:space="preserve">IV</w:t>
      </w:r>
    </w:p>
    <w:p>
      <w:pPr>
        <w:numPr>
          <w:ilvl w:val="0"/>
          <w:numId w:val="1002"/>
        </w:numPr>
        <w:pStyle w:val="Compact"/>
      </w:pPr>
      <w:r>
        <w:t xml:space="preserve">V</w:t>
      </w:r>
    </w:p>
    <w:p>
      <w:pPr>
        <w:numPr>
          <w:ilvl w:val="0"/>
          <w:numId w:val="1002"/>
        </w:numPr>
        <w:pStyle w:val="Compact"/>
      </w:pPr>
      <w:r>
        <w:t xml:space="preserve">VI</w:t>
      </w:r>
    </w:p>
    <w:p>
      <w:pPr>
        <w:numPr>
          <w:ilvl w:val="0"/>
          <w:numId w:val="1002"/>
        </w:numPr>
        <w:pStyle w:val="Compact"/>
      </w:pPr>
      <w:r>
        <w:t xml:space="preserve">VII</w:t>
      </w:r>
    </w:p>
    <w:p>
      <w:pPr>
        <w:numPr>
          <w:ilvl w:val="0"/>
          <w:numId w:val="1002"/>
        </w:numPr>
        <w:pStyle w:val="Compact"/>
      </w:pPr>
      <w:r>
        <w:t xml:space="preserve">VIII</w:t>
      </w:r>
    </w:p>
    <w:p>
      <w:pPr>
        <w:numPr>
          <w:ilvl w:val="0"/>
          <w:numId w:val="1002"/>
        </w:numPr>
        <w:pStyle w:val="Compact"/>
      </w:pPr>
      <w:r>
        <w:t xml:space="preserve">IX</w:t>
      </w:r>
    </w:p>
    <w:p>
      <w:pPr>
        <w:numPr>
          <w:ilvl w:val="0"/>
          <w:numId w:val="1002"/>
        </w:numPr>
        <w:pStyle w:val="Compact"/>
      </w:pPr>
      <w:r>
        <w:t xml:space="preserve">X</w:t>
      </w:r>
    </w:p>
    <w:p>
      <w:pPr>
        <w:numPr>
          <w:ilvl w:val="0"/>
          <w:numId w:val="1002"/>
        </w:numPr>
        <w:pStyle w:val="Compact"/>
      </w:pPr>
      <w:r>
        <w:t xml:space="preserve">XI</w:t>
      </w:r>
    </w:p>
    <w:p>
      <w:pPr>
        <w:numPr>
          <w:ilvl w:val="0"/>
          <w:numId w:val="1002"/>
        </w:numPr>
        <w:pStyle w:val="Compact"/>
      </w:pPr>
      <w:r>
        <w:t xml:space="preserve">XII</w:t>
      </w:r>
    </w:p>
    <w:p>
      <w:pPr>
        <w:pStyle w:val="Heading2"/>
      </w:pPr>
      <w:bookmarkStart w:id="23" w:name="motorik"/>
      <w:r>
        <w:t xml:space="preserve">Motorik</w:t>
      </w:r>
      <w:bookmarkEnd w:id="23"/>
    </w:p>
    <w:p>
      <w:pPr>
        <w:numPr>
          <w:ilvl w:val="0"/>
          <w:numId w:val="1003"/>
        </w:numPr>
        <w:pStyle w:val="Compact"/>
      </w:pPr>
      <w:r>
        <w:t xml:space="preserve">Arm-halte-Versuch</w:t>
      </w:r>
    </w:p>
    <w:p>
      <w:pPr>
        <w:numPr>
          <w:ilvl w:val="0"/>
          <w:numId w:val="1003"/>
        </w:numPr>
        <w:pStyle w:val="Compact"/>
      </w:pPr>
      <w:r>
        <w:t xml:space="preserve">Bein-halte-Versuch</w:t>
      </w:r>
    </w:p>
    <w:p>
      <w:pPr>
        <w:pStyle w:val="Heading2"/>
      </w:pPr>
      <w:bookmarkStart w:id="24" w:name="reflexstatus"/>
      <w:r>
        <w:t xml:space="preserve">Reflexstatus</w:t>
      </w:r>
      <w:bookmarkEnd w:id="24"/>
    </w:p>
    <w:p>
      <w:pPr>
        <w:pStyle w:val="FirstParagraph"/>
      </w:pPr>
      <w:r>
        <w:t xml:space="preserve">Masseterreflex</w:t>
      </w:r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gesteigert/lebhaft/untermittellebhaft/nicht sicher auslösbar/erloschen</w:t>
      </w:r>
    </w:p>
    <w:p>
      <w:pPr>
        <w:pStyle w:val="FirstParagraph"/>
      </w:pPr>
      <w:r>
        <w:t xml:space="preserve">Bizepssehnenreflex (BSR)</w:t>
      </w:r>
    </w:p>
    <w:p>
      <w:pPr>
        <w:numPr>
          <w:ilvl w:val="0"/>
          <w:numId w:val="1005"/>
        </w:numPr>
        <w:pStyle w:val="Compact"/>
      </w:pPr>
      <w:r>
        <w:t xml:space="preserve">links</w:t>
      </w:r>
      <w:r>
        <w:t xml:space="preserve"> </w:t>
      </w:r>
      <w:r>
        <w:rPr>
          <w:i/>
        </w:rPr>
        <w:t xml:space="preserve">gesteigert/lebhaft/untermittellebhaft/nicht sicher auslösbar/erloschen</w:t>
      </w:r>
    </w:p>
    <w:p>
      <w:pPr>
        <w:numPr>
          <w:ilvl w:val="0"/>
          <w:numId w:val="1005"/>
        </w:numPr>
        <w:pStyle w:val="Compact"/>
      </w:pPr>
      <w:r>
        <w:t xml:space="preserve">recht</w:t>
      </w:r>
      <w:r>
        <w:t xml:space="preserve"> </w:t>
      </w:r>
      <w:r>
        <w:rPr>
          <w:i/>
        </w:rPr>
        <w:t xml:space="preserve">gesteigert/lebhaft/untermittellebhaft/nicht sicher auslösbar/erloschen</w:t>
      </w:r>
    </w:p>
    <w:p>
      <w:pPr>
        <w:numPr>
          <w:ilvl w:val="0"/>
          <w:numId w:val="1005"/>
        </w:numPr>
        <w:pStyle w:val="Compact"/>
      </w:pPr>
      <w:r>
        <w:t xml:space="preserve">bds.</w:t>
      </w:r>
      <w:r>
        <w:t xml:space="preserve"> </w:t>
      </w:r>
      <w:r>
        <w:rPr>
          <w:i/>
        </w:rPr>
        <w:t xml:space="preserve">gesteigert/lebhaft/untermittellebhaft/nicht sicher auslösbar/erloschen</w:t>
      </w:r>
    </w:p>
    <w:p>
      <w:pPr>
        <w:numPr>
          <w:ilvl w:val="0"/>
          <w:numId w:val="1005"/>
        </w:numPr>
        <w:pStyle w:val="Compact"/>
      </w:pPr>
      <w:r>
        <w:rPr>
          <w:i/>
        </w:rPr>
        <w:t xml:space="preserve">Reflexzone ist verbreitert</w:t>
      </w:r>
    </w:p>
    <w:p>
      <w:pPr>
        <w:numPr>
          <w:ilvl w:val="0"/>
          <w:numId w:val="1005"/>
        </w:numPr>
        <w:pStyle w:val="Compact"/>
      </w:pPr>
      <w:r>
        <w:rPr>
          <w:i/>
        </w:rPr>
        <w:t xml:space="preserve">Seiten überspringend</w:t>
      </w:r>
    </w:p>
    <w:p>
      <w:pPr>
        <w:pStyle w:val="FirstParagraph"/>
      </w:pPr>
      <w:r>
        <w:t xml:space="preserve">Brachioradialisreflex</w:t>
      </w:r>
    </w:p>
    <w:p>
      <w:pPr>
        <w:numPr>
          <w:ilvl w:val="0"/>
          <w:numId w:val="1006"/>
        </w:numPr>
        <w:pStyle w:val="Compact"/>
      </w:pPr>
      <w:r>
        <w:t xml:space="preserve">links</w:t>
      </w:r>
      <w:r>
        <w:t xml:space="preserve"> </w:t>
      </w:r>
      <w:r>
        <w:rPr>
          <w:i/>
        </w:rPr>
        <w:t xml:space="preserve">gesteigert/lebhaft/untermittellebhaft/nicht sicher auslösbar/erloschen</w:t>
      </w:r>
    </w:p>
    <w:p>
      <w:pPr>
        <w:numPr>
          <w:ilvl w:val="0"/>
          <w:numId w:val="1006"/>
        </w:numPr>
        <w:pStyle w:val="Compact"/>
      </w:pPr>
      <w:r>
        <w:t xml:space="preserve">recht</w:t>
      </w:r>
      <w:r>
        <w:t xml:space="preserve"> </w:t>
      </w:r>
      <w:r>
        <w:rPr>
          <w:i/>
        </w:rPr>
        <w:t xml:space="preserve">gesteigert/lebhaft/untermittellebhaft/nicht sicher auslösbar/erloschen</w:t>
      </w:r>
    </w:p>
    <w:p>
      <w:pPr>
        <w:numPr>
          <w:ilvl w:val="0"/>
          <w:numId w:val="1006"/>
        </w:numPr>
        <w:pStyle w:val="Compact"/>
      </w:pPr>
      <w:r>
        <w:t xml:space="preserve">bds.</w:t>
      </w:r>
      <w:r>
        <w:t xml:space="preserve"> </w:t>
      </w:r>
      <w:r>
        <w:rPr>
          <w:i/>
        </w:rPr>
        <w:t xml:space="preserve">gesteigert/lebhaft/untermittellebhaft/nicht sicher auslösbar/erloschen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Reflexzone ist verbreitert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Seiten überspringend</w:t>
      </w:r>
    </w:p>
    <w:p>
      <w:pPr>
        <w:pStyle w:val="FirstParagraph"/>
      </w:pPr>
      <w:r>
        <w:t xml:space="preserve">Trizepssehnenreflex (TSR)</w:t>
      </w:r>
    </w:p>
    <w:p>
      <w:pPr>
        <w:numPr>
          <w:ilvl w:val="0"/>
          <w:numId w:val="1007"/>
        </w:numPr>
        <w:pStyle w:val="Compact"/>
      </w:pPr>
      <w:r>
        <w:t xml:space="preserve">links</w:t>
      </w:r>
      <w:r>
        <w:t xml:space="preserve"> </w:t>
      </w:r>
      <w:r>
        <w:rPr>
          <w:i/>
        </w:rPr>
        <w:t xml:space="preserve">gesteigert/lebhaft/untermittellebhaft/nicht sicher auslösbar/erloschen</w:t>
      </w:r>
    </w:p>
    <w:p>
      <w:pPr>
        <w:numPr>
          <w:ilvl w:val="0"/>
          <w:numId w:val="1007"/>
        </w:numPr>
        <w:pStyle w:val="Compact"/>
      </w:pPr>
      <w:r>
        <w:t xml:space="preserve">recht</w:t>
      </w:r>
      <w:r>
        <w:t xml:space="preserve"> </w:t>
      </w:r>
      <w:r>
        <w:rPr>
          <w:i/>
        </w:rPr>
        <w:t xml:space="preserve">gesteigert/lebhaft/untermittellebhaft/nicht sicher auslösbar/erloschen</w:t>
      </w:r>
    </w:p>
    <w:p>
      <w:pPr>
        <w:numPr>
          <w:ilvl w:val="0"/>
          <w:numId w:val="1007"/>
        </w:numPr>
        <w:pStyle w:val="Compact"/>
      </w:pPr>
      <w:r>
        <w:t xml:space="preserve">bds.</w:t>
      </w:r>
      <w:r>
        <w:t xml:space="preserve"> </w:t>
      </w:r>
      <w:r>
        <w:rPr>
          <w:i/>
        </w:rPr>
        <w:t xml:space="preserve">gesteigert/lebhaft/untermittellebhaft/nicht sicher auslösbar/erloschen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Reflexzone ist verbreitert</w:t>
      </w:r>
    </w:p>
    <w:p>
      <w:pPr>
        <w:pStyle w:val="FirstParagraph"/>
      </w:pPr>
      <w:r>
        <w:t xml:space="preserve">Patellarsehnenreflex (PSR)</w:t>
      </w:r>
    </w:p>
    <w:p>
      <w:pPr>
        <w:numPr>
          <w:ilvl w:val="0"/>
          <w:numId w:val="1008"/>
        </w:numPr>
        <w:pStyle w:val="Compact"/>
      </w:pPr>
      <w:r>
        <w:t xml:space="preserve">links</w:t>
      </w:r>
      <w:r>
        <w:t xml:space="preserve"> </w:t>
      </w:r>
      <w:r>
        <w:rPr>
          <w:i/>
        </w:rPr>
        <w:t xml:space="preserve">gesteigert/lebhaft/untermittellebhaft/nicht sicher auslösbar/erloschen</w:t>
      </w:r>
    </w:p>
    <w:p>
      <w:pPr>
        <w:numPr>
          <w:ilvl w:val="0"/>
          <w:numId w:val="1008"/>
        </w:numPr>
        <w:pStyle w:val="Compact"/>
      </w:pPr>
      <w:r>
        <w:t xml:space="preserve">recht</w:t>
      </w:r>
      <w:r>
        <w:t xml:space="preserve"> </w:t>
      </w:r>
      <w:r>
        <w:rPr>
          <w:i/>
        </w:rPr>
        <w:t xml:space="preserve">gesteigert/lebhaft/untermittellebhaft/nicht sicher auslösbar/erloschen</w:t>
      </w:r>
    </w:p>
    <w:p>
      <w:pPr>
        <w:numPr>
          <w:ilvl w:val="0"/>
          <w:numId w:val="1008"/>
        </w:numPr>
        <w:pStyle w:val="Compact"/>
      </w:pPr>
      <w:r>
        <w:t xml:space="preserve">bds.</w:t>
      </w:r>
      <w:r>
        <w:t xml:space="preserve"> </w:t>
      </w:r>
      <w:r>
        <w:rPr>
          <w:i/>
        </w:rPr>
        <w:t xml:space="preserve">gesteigert/lebhaft/untermittellebhaft/nicht sicher auslösbar/erloschen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Reflexzone ist verbreitert</w:t>
      </w:r>
    </w:p>
    <w:p>
      <w:pPr>
        <w:pStyle w:val="FirstParagraph"/>
      </w:pPr>
      <w:r>
        <w:t xml:space="preserve">Achillessehnenreflex (ASR)</w:t>
      </w:r>
    </w:p>
    <w:p>
      <w:pPr>
        <w:numPr>
          <w:ilvl w:val="0"/>
          <w:numId w:val="1009"/>
        </w:numPr>
        <w:pStyle w:val="Compact"/>
      </w:pPr>
      <w:r>
        <w:t xml:space="preserve">links</w:t>
      </w:r>
      <w:r>
        <w:t xml:space="preserve"> </w:t>
      </w:r>
      <w:r>
        <w:rPr>
          <w:i/>
        </w:rPr>
        <w:t xml:space="preserve">gesteigert/lebhaft/untermittellebhaft/nicht sicher auslösbar/erloschen</w:t>
      </w:r>
    </w:p>
    <w:p>
      <w:pPr>
        <w:numPr>
          <w:ilvl w:val="0"/>
          <w:numId w:val="1009"/>
        </w:numPr>
        <w:pStyle w:val="Compact"/>
      </w:pPr>
      <w:r>
        <w:t xml:space="preserve">recht</w:t>
      </w:r>
      <w:r>
        <w:t xml:space="preserve"> </w:t>
      </w:r>
      <w:r>
        <w:rPr>
          <w:i/>
        </w:rPr>
        <w:t xml:space="preserve">gesteigert/lebhaft/untermittellebhaft/nicht sicher auslösbar/erloschen</w:t>
      </w:r>
    </w:p>
    <w:p>
      <w:pPr>
        <w:numPr>
          <w:ilvl w:val="0"/>
          <w:numId w:val="1009"/>
        </w:numPr>
        <w:pStyle w:val="Compact"/>
      </w:pPr>
      <w:r>
        <w:t xml:space="preserve">bds.</w:t>
      </w:r>
      <w:r>
        <w:t xml:space="preserve"> </w:t>
      </w:r>
      <w:r>
        <w:rPr>
          <w:i/>
        </w:rPr>
        <w:t xml:space="preserve">gesteigert/lebhaft/untermittellebhaft/nicht sicher auslösbar/erloschen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Reflexzone ist verbreitert</w:t>
      </w:r>
    </w:p>
    <w:p>
      <w:pPr>
        <w:pStyle w:val="FirstParagraph"/>
      </w:pPr>
      <w:r>
        <w:t xml:space="preserve">Tibialis-posterior-Reflex (TPR)</w:t>
      </w:r>
    </w:p>
    <w:p>
      <w:pPr>
        <w:numPr>
          <w:ilvl w:val="0"/>
          <w:numId w:val="1010"/>
        </w:numPr>
        <w:pStyle w:val="Compact"/>
      </w:pPr>
      <w:r>
        <w:t xml:space="preserve">links</w:t>
      </w:r>
      <w:r>
        <w:t xml:space="preserve"> </w:t>
      </w:r>
      <w:r>
        <w:rPr>
          <w:i/>
        </w:rPr>
        <w:t xml:space="preserve">gesteigert/lebhaft/untermittellebhaft/nicht sicher auslösbar/erloschen</w:t>
      </w:r>
    </w:p>
    <w:p>
      <w:pPr>
        <w:numPr>
          <w:ilvl w:val="0"/>
          <w:numId w:val="1010"/>
        </w:numPr>
        <w:pStyle w:val="Compact"/>
      </w:pPr>
      <w:r>
        <w:t xml:space="preserve">recht</w:t>
      </w:r>
      <w:r>
        <w:t xml:space="preserve"> </w:t>
      </w:r>
      <w:r>
        <w:rPr>
          <w:i/>
        </w:rPr>
        <w:t xml:space="preserve">gesteigert/lebhaft/untermittellebhaft/nicht sicher auslösbar/erloschen</w:t>
      </w:r>
    </w:p>
    <w:p>
      <w:pPr>
        <w:numPr>
          <w:ilvl w:val="0"/>
          <w:numId w:val="1010"/>
        </w:numPr>
        <w:pStyle w:val="Compact"/>
      </w:pPr>
      <w:r>
        <w:t xml:space="preserve">bds.</w:t>
      </w:r>
      <w:r>
        <w:t xml:space="preserve"> </w:t>
      </w:r>
      <w:r>
        <w:rPr>
          <w:i/>
        </w:rPr>
        <w:t xml:space="preserve">gesteigert/lebhaft/untermittellebhaft/nicht sicher auslösbar/erloschen</w:t>
      </w:r>
    </w:p>
    <w:p>
      <w:pPr>
        <w:numPr>
          <w:ilvl w:val="0"/>
          <w:numId w:val="1010"/>
        </w:numPr>
        <w:pStyle w:val="Compact"/>
      </w:pPr>
      <w:r>
        <w:rPr>
          <w:i/>
        </w:rPr>
        <w:t xml:space="preserve">Reflexzone ist verbreitert</w:t>
      </w:r>
    </w:p>
    <w:p>
      <w:pPr>
        <w:pStyle w:val="FirstParagraph"/>
      </w:pPr>
      <w:r>
        <w:t xml:space="preserve">Babinski-Reflex</w:t>
      </w:r>
    </w:p>
    <w:p>
      <w:pPr>
        <w:numPr>
          <w:ilvl w:val="0"/>
          <w:numId w:val="1011"/>
        </w:numPr>
        <w:pStyle w:val="Compact"/>
      </w:pPr>
      <w:r>
        <w:t xml:space="preserve">links</w:t>
      </w:r>
      <w:r>
        <w:t xml:space="preserve"> </w:t>
      </w:r>
      <w:r>
        <w:rPr>
          <w:i/>
        </w:rPr>
        <w:t xml:space="preserve">positiv/negativ</w:t>
      </w:r>
    </w:p>
    <w:p>
      <w:pPr>
        <w:numPr>
          <w:ilvl w:val="0"/>
          <w:numId w:val="1011"/>
        </w:numPr>
        <w:pStyle w:val="Compact"/>
      </w:pPr>
      <w:r>
        <w:t xml:space="preserve">recht</w:t>
      </w:r>
      <w:r>
        <w:t xml:space="preserve"> </w:t>
      </w:r>
      <w:r>
        <w:rPr>
          <w:i/>
        </w:rPr>
        <w:t xml:space="preserve">positiv/negativ</w:t>
      </w:r>
    </w:p>
    <w:p>
      <w:pPr>
        <w:numPr>
          <w:ilvl w:val="0"/>
          <w:numId w:val="1011"/>
        </w:numPr>
        <w:pStyle w:val="Compact"/>
      </w:pPr>
      <w:r>
        <w:t xml:space="preserve">bds.</w:t>
      </w:r>
      <w:r>
        <w:t xml:space="preserve"> </w:t>
      </w:r>
      <w:r>
        <w:rPr>
          <w:i/>
        </w:rPr>
        <w:t xml:space="preserve">positiv/negativ</w:t>
      </w:r>
    </w:p>
    <w:p>
      <w:pPr>
        <w:pStyle w:val="FirstParagraph"/>
      </w:pPr>
      <w:r>
        <w:t xml:space="preserve">Chaddock-Reflex</w:t>
      </w:r>
    </w:p>
    <w:p>
      <w:pPr>
        <w:numPr>
          <w:ilvl w:val="0"/>
          <w:numId w:val="1012"/>
        </w:numPr>
        <w:pStyle w:val="Compact"/>
      </w:pPr>
      <w:r>
        <w:t xml:space="preserve">links</w:t>
      </w:r>
      <w:r>
        <w:t xml:space="preserve"> </w:t>
      </w:r>
      <w:r>
        <w:rPr>
          <w:i/>
        </w:rPr>
        <w:t xml:space="preserve">positiv/negativ</w:t>
      </w:r>
    </w:p>
    <w:p>
      <w:pPr>
        <w:numPr>
          <w:ilvl w:val="0"/>
          <w:numId w:val="1012"/>
        </w:numPr>
        <w:pStyle w:val="Compact"/>
      </w:pPr>
      <w:r>
        <w:t xml:space="preserve">recht</w:t>
      </w:r>
      <w:r>
        <w:t xml:space="preserve"> </w:t>
      </w:r>
      <w:r>
        <w:rPr>
          <w:i/>
        </w:rPr>
        <w:t xml:space="preserve">positiv/negativ</w:t>
      </w:r>
    </w:p>
    <w:p>
      <w:pPr>
        <w:numPr>
          <w:ilvl w:val="0"/>
          <w:numId w:val="1012"/>
        </w:numPr>
        <w:pStyle w:val="Compact"/>
      </w:pPr>
      <w:r>
        <w:t xml:space="preserve">bds.</w:t>
      </w:r>
      <w:r>
        <w:t xml:space="preserve"> </w:t>
      </w:r>
      <w:r>
        <w:rPr>
          <w:i/>
        </w:rPr>
        <w:t xml:space="preserve">positiv/negativ</w:t>
      </w:r>
    </w:p>
    <w:p>
      <w:pPr>
        <w:pStyle w:val="FirstParagraph"/>
      </w:pPr>
      <w:r>
        <w:t xml:space="preserve">Gordon-Reflex</w:t>
      </w:r>
    </w:p>
    <w:p>
      <w:pPr>
        <w:numPr>
          <w:ilvl w:val="0"/>
          <w:numId w:val="1013"/>
        </w:numPr>
        <w:pStyle w:val="Compact"/>
      </w:pPr>
      <w:r>
        <w:t xml:space="preserve">links</w:t>
      </w:r>
      <w:r>
        <w:t xml:space="preserve"> </w:t>
      </w:r>
      <w:r>
        <w:rPr>
          <w:i/>
        </w:rPr>
        <w:t xml:space="preserve">positiv/negativ</w:t>
      </w:r>
    </w:p>
    <w:p>
      <w:pPr>
        <w:numPr>
          <w:ilvl w:val="0"/>
          <w:numId w:val="1013"/>
        </w:numPr>
        <w:pStyle w:val="Compact"/>
      </w:pPr>
      <w:r>
        <w:t xml:space="preserve">recht</w:t>
      </w:r>
      <w:r>
        <w:t xml:space="preserve"> </w:t>
      </w:r>
      <w:r>
        <w:rPr>
          <w:i/>
        </w:rPr>
        <w:t xml:space="preserve">positiv/negativ</w:t>
      </w:r>
    </w:p>
    <w:p>
      <w:pPr>
        <w:numPr>
          <w:ilvl w:val="0"/>
          <w:numId w:val="1013"/>
        </w:numPr>
        <w:pStyle w:val="Compact"/>
      </w:pPr>
      <w:r>
        <w:t xml:space="preserve">bds.</w:t>
      </w:r>
      <w:r>
        <w:t xml:space="preserve"> </w:t>
      </w:r>
      <w:r>
        <w:rPr>
          <w:i/>
        </w:rPr>
        <w:t xml:space="preserve">positiv/negativ</w:t>
      </w:r>
    </w:p>
    <w:p>
      <w:pPr>
        <w:pStyle w:val="FirstParagraph"/>
      </w:pPr>
      <w:r>
        <w:t xml:space="preserve">Oppenheim-Reflex</w:t>
      </w:r>
    </w:p>
    <w:p>
      <w:pPr>
        <w:numPr>
          <w:ilvl w:val="0"/>
          <w:numId w:val="1014"/>
        </w:numPr>
        <w:pStyle w:val="Compact"/>
      </w:pPr>
      <w:r>
        <w:t xml:space="preserve">links</w:t>
      </w:r>
      <w:r>
        <w:t xml:space="preserve"> </w:t>
      </w:r>
      <w:r>
        <w:rPr>
          <w:i/>
        </w:rPr>
        <w:t xml:space="preserve">positiv/negativ</w:t>
      </w:r>
    </w:p>
    <w:p>
      <w:pPr>
        <w:numPr>
          <w:ilvl w:val="0"/>
          <w:numId w:val="1014"/>
        </w:numPr>
        <w:pStyle w:val="Compact"/>
      </w:pPr>
      <w:r>
        <w:t xml:space="preserve">recht</w:t>
      </w:r>
      <w:r>
        <w:t xml:space="preserve"> </w:t>
      </w:r>
      <w:r>
        <w:rPr>
          <w:i/>
        </w:rPr>
        <w:t xml:space="preserve">positiv/negativ</w:t>
      </w:r>
    </w:p>
    <w:p>
      <w:pPr>
        <w:numPr>
          <w:ilvl w:val="0"/>
          <w:numId w:val="1014"/>
        </w:numPr>
        <w:pStyle w:val="Compact"/>
      </w:pPr>
      <w:r>
        <w:t xml:space="preserve">bds.</w:t>
      </w:r>
      <w:r>
        <w:t xml:space="preserve"> </w:t>
      </w:r>
      <w:r>
        <w:rPr>
          <w:i/>
        </w:rPr>
        <w:t xml:space="preserve">positiv/negativ</w:t>
      </w:r>
    </w:p>
    <w:p>
      <w:pPr>
        <w:pStyle w:val="Heading2"/>
      </w:pPr>
      <w:bookmarkStart w:id="25" w:name="muskeltonus"/>
      <w:r>
        <w:t xml:space="preserve">Muskeltonus</w:t>
      </w:r>
      <w:bookmarkEnd w:id="25"/>
    </w:p>
    <w:p>
      <w:pPr>
        <w:pStyle w:val="Heading2"/>
      </w:pPr>
      <w:bookmarkStart w:id="26" w:name="sensorik"/>
      <w:r>
        <w:t xml:space="preserve">Sensorik</w:t>
      </w:r>
      <w:bookmarkEnd w:id="26"/>
    </w:p>
    <w:p>
      <w:pPr>
        <w:pStyle w:val="Heading1"/>
      </w:pPr>
      <w:bookmarkStart w:id="27" w:name="internistische-untersuchung"/>
      <w:r>
        <w:t xml:space="preserve">Internistische Untersuchung</w:t>
      </w:r>
      <w:bookmarkEnd w:id="27"/>
    </w:p>
    <w:p>
      <w:pPr>
        <w:pStyle w:val="FirstParagraph"/>
      </w:pPr>
      <w:r>
        <w:t xml:space="preserve">Cor</w:t>
      </w:r>
    </w:p>
    <w:p>
      <w:pPr>
        <w:numPr>
          <w:ilvl w:val="0"/>
          <w:numId w:val="1015"/>
        </w:numPr>
        <w:pStyle w:val="Compact"/>
      </w:pPr>
      <w:r>
        <w:rPr>
          <w:i/>
        </w:rPr>
        <w:t xml:space="preserve">reine/regelmäßige/unregelmäßige Herztöne</w:t>
      </w:r>
    </w:p>
    <w:p>
      <w:pPr>
        <w:numPr>
          <w:ilvl w:val="0"/>
          <w:numId w:val="1015"/>
        </w:numPr>
        <w:pStyle w:val="Compact"/>
      </w:pPr>
      <w:r>
        <w:rPr>
          <w:i/>
        </w:rPr>
        <w:t xml:space="preserve">x/6 systolikum mit Punktum maximum</w:t>
      </w:r>
    </w:p>
    <w:p>
      <w:pPr>
        <w:numPr>
          <w:ilvl w:val="1"/>
          <w:numId w:val="1016"/>
        </w:numPr>
        <w:pStyle w:val="Compact"/>
      </w:pPr>
      <w:r>
        <w:rPr>
          <w:i/>
        </w:rPr>
        <w:t xml:space="preserve">im</w:t>
      </w:r>
      <w:r>
        <w:rPr>
          <w:i/>
        </w:rPr>
        <w:t xml:space="preserve"> </w:t>
      </w:r>
      <w:r>
        <w:rPr>
          <w:b/>
        </w:rPr>
        <w:t xml:space="preserve">x</w:t>
      </w:r>
      <w:r>
        <w:t xml:space="preserve">* ICR*</w:t>
      </w:r>
    </w:p>
    <w:p>
      <w:pPr>
        <w:numPr>
          <w:ilvl w:val="0"/>
          <w:numId w:val="1015"/>
        </w:numPr>
        <w:pStyle w:val="Compact"/>
      </w:pPr>
      <w:r>
        <w:rPr>
          <w:i/>
        </w:rPr>
        <w:t xml:space="preserve">x/6 diastolikum mit Punktum maximum</w:t>
      </w:r>
    </w:p>
    <w:p>
      <w:pPr>
        <w:numPr>
          <w:ilvl w:val="1"/>
          <w:numId w:val="1017"/>
        </w:numPr>
        <w:pStyle w:val="Compact"/>
      </w:pPr>
      <w:r>
        <w:rPr>
          <w:i/>
        </w:rPr>
        <w:t xml:space="preserve">im</w:t>
      </w:r>
      <w:r>
        <w:rPr>
          <w:i/>
        </w:rPr>
        <w:t xml:space="preserve"> </w:t>
      </w:r>
      <w:r>
        <w:rPr>
          <w:b/>
        </w:rPr>
        <w:t xml:space="preserve">x</w:t>
      </w:r>
      <w:r>
        <w:t xml:space="preserve">* ICR*</w:t>
      </w:r>
    </w:p>
    <w:p>
      <w:pPr>
        <w:pStyle w:val="FirstParagraph"/>
      </w:pPr>
      <w:r>
        <w:t xml:space="preserve">Pulmo</w:t>
      </w:r>
    </w:p>
    <w:p>
      <w:pPr>
        <w:numPr>
          <w:ilvl w:val="0"/>
          <w:numId w:val="1018"/>
        </w:numPr>
        <w:pStyle w:val="Compact"/>
      </w:pPr>
      <w:r>
        <w:t xml:space="preserve">vesikuläres Atemgeräusch bds.</w:t>
      </w:r>
    </w:p>
    <w:p>
      <w:pPr>
        <w:numPr>
          <w:ilvl w:val="0"/>
          <w:numId w:val="1018"/>
        </w:numPr>
        <w:pStyle w:val="Compact"/>
      </w:pPr>
      <w:r>
        <w:t xml:space="preserve">abgeschwächtes Atemgeräusch</w:t>
      </w:r>
      <w:r>
        <w:t xml:space="preserve"> </w:t>
      </w:r>
      <w:r>
        <w:rPr>
          <w:i/>
        </w:rPr>
        <w:t xml:space="preserve">bds./links/recht</w:t>
      </w:r>
    </w:p>
    <w:p>
      <w:pPr>
        <w:numPr>
          <w:ilvl w:val="0"/>
          <w:numId w:val="1018"/>
        </w:numPr>
        <w:pStyle w:val="Compact"/>
      </w:pPr>
      <w:r>
        <w:t xml:space="preserve">verstärktes Atemgeräusch</w:t>
      </w:r>
      <w:r>
        <w:t xml:space="preserve"> </w:t>
      </w:r>
      <w:r>
        <w:rPr>
          <w:i/>
        </w:rPr>
        <w:t xml:space="preserve">bds./links/recht</w:t>
      </w:r>
    </w:p>
    <w:p>
      <w:pPr>
        <w:pStyle w:val="FirstParagraph"/>
      </w:pPr>
      <w:r>
        <w:t xml:space="preserve">Abdomen</w:t>
      </w:r>
    </w:p>
    <w:p>
      <w:pPr>
        <w:pStyle w:val="BodyText"/>
      </w:pPr>
      <w:r>
        <w:t xml:space="preserve">Nierenlager</w:t>
      </w:r>
    </w:p>
    <w:p>
      <w:pPr>
        <w:pStyle w:val="BodyText"/>
      </w:pPr>
      <w:r>
        <w:t xml:space="preserve">Pulse</w:t>
      </w:r>
    </w:p>
    <w:p>
      <w:pPr>
        <w:pStyle w:val="BodyText"/>
      </w:pPr>
      <w:r>
        <w:t xml:space="preserve">Ödeme</w:t>
      </w:r>
    </w:p>
    <w:p>
      <w:pPr>
        <w:numPr>
          <w:ilvl w:val="0"/>
          <w:numId w:val="1019"/>
        </w:numPr>
        <w:pStyle w:val="Compact"/>
      </w:pPr>
      <w:r>
        <w:t xml:space="preserve">der unteren Extremiäten</w:t>
      </w:r>
      <w:r>
        <w:t xml:space="preserve"> </w:t>
      </w:r>
      <w:r>
        <w:rPr>
          <w:i/>
        </w:rPr>
        <w:t xml:space="preserve">links/recht/bds.</w:t>
      </w:r>
    </w:p>
    <w:p>
      <w:pPr>
        <w:pStyle w:val="Heading1"/>
      </w:pPr>
      <w:bookmarkStart w:id="28" w:name="sonstige"/>
      <w:r>
        <w:t xml:space="preserve">Sonstige</w:t>
      </w:r>
      <w:bookmarkEnd w:id="28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2020-08-19T05:30:59Z</dcterms:created>
  <dcterms:modified xsi:type="dcterms:W3CDTF">2020-08-19T05:30:59Z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