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access, sharing, and reuse</w:t>
      </w:r>
    </w:p>
    <w:p>
      <w:r>
        <w:t>Data sharing will be undertaken in line with ethical approvals, consent agreements, and data protection requirements. Where data cannot be shared openly, access conditions and restrictions will be clearly documented. Metadata describing the existence and nature of the data will be made publicly available via an appropriate repository. Decisions regarding retention, archiving, and access will be reviewed at key project milestones.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