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Documentation and metadata</w:t>
      </w:r>
    </w:p>
    <w:p>
      <w:r>
        <w:t>All datasets and analysis code will be accompanied by documentation sufficient to support interpretation and reuse. This will include a project-level README describing purpose, structure, and conventions, as well as data dictionaries or codebooks describing variables, formats, and processing steps. Metadata will be recorded using structured fields where possible to support findability and interoperability, even where access to the underlying data is restricted.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