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4CB16">
      <w:pPr>
        <w:spacing w:after="0" w:line="276" w:lineRule="auto"/>
        <w:jc w:val="center"/>
        <w:rPr>
          <w:rFonts w:ascii="Arial Narrow" w:hAnsi="Arial Narrow"/>
          <w:b/>
        </w:rPr>
      </w:pPr>
      <w:r>
        <w:rPr>
          <w:rFonts w:ascii="Arial Narrow" w:hAnsi="Arial Narrow"/>
          <w:b/>
        </w:rPr>
        <w:t xml:space="preserve">CONTRATO DE ASESORÍA PARA TITULACIÓN DE PROPIEDAD </w:t>
      </w:r>
    </w:p>
    <w:p w14:paraId="17AFCAC2">
      <w:pPr>
        <w:spacing w:after="0" w:line="276" w:lineRule="auto"/>
        <w:jc w:val="center"/>
        <w:rPr>
          <w:rFonts w:ascii="Arial Narrow" w:hAnsi="Arial Narrow" w:eastAsiaTheme="majorEastAsia" w:cstheme="majorBidi"/>
          <w:b/>
        </w:rPr>
      </w:pPr>
      <w:r>
        <w:rPr>
          <w:rFonts w:ascii="Arial Narrow" w:hAnsi="Arial Narrow"/>
          <w:b/>
        </w:rPr>
        <w:t xml:space="preserve">ACCESO TOTAL </w:t>
      </w:r>
    </w:p>
    <w:p w14:paraId="4E023E0E">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bCs/>
          <w:lang w:eastAsia="es-PE"/>
        </w:rPr>
        <w:t>Conste por el presente documento</w:t>
      </w:r>
      <w:r>
        <w:rPr>
          <w:rFonts w:ascii="Arial Narrow" w:hAnsi="Arial Narrow" w:eastAsia="Times New Roman" w:cs="Times New Roman"/>
          <w:b/>
          <w:bCs/>
          <w:lang w:eastAsia="es-PE"/>
        </w:rPr>
        <w:t xml:space="preserve"> </w:t>
      </w:r>
      <w:r>
        <w:rPr>
          <w:rFonts w:ascii="Arial Narrow" w:hAnsi="Arial Narrow" w:eastAsia="Times New Roman" w:cs="Times New Roman"/>
          <w:bCs/>
          <w:lang w:eastAsia="es-PE"/>
        </w:rPr>
        <w:t>el</w:t>
      </w:r>
      <w:r>
        <w:rPr>
          <w:rFonts w:ascii="Arial Narrow" w:hAnsi="Arial Narrow" w:eastAsia="Times New Roman" w:cs="Times New Roman"/>
          <w:b/>
          <w:bCs/>
          <w:lang w:eastAsia="es-PE"/>
        </w:rPr>
        <w:t xml:space="preserve"> </w:t>
      </w:r>
      <w:r>
        <w:rPr>
          <w:rFonts w:ascii="Arial Narrow" w:hAnsi="Arial Narrow" w:eastAsia="Times New Roman" w:cs="Times New Roman"/>
          <w:bCs/>
          <w:lang w:eastAsia="es-PE"/>
        </w:rPr>
        <w:t>contrato</w:t>
      </w:r>
      <w:r>
        <w:rPr>
          <w:rFonts w:ascii="Arial Narrow" w:hAnsi="Arial Narrow" w:eastAsia="Times New Roman" w:cs="Times New Roman"/>
          <w:b/>
          <w:bCs/>
          <w:lang w:eastAsia="es-PE"/>
        </w:rPr>
        <w:t xml:space="preserve"> </w:t>
      </w:r>
      <w:r>
        <w:rPr>
          <w:rFonts w:ascii="Arial Narrow" w:hAnsi="Arial Narrow" w:eastAsia="Times New Roman" w:cs="Times New Roman"/>
          <w:bCs/>
          <w:lang w:eastAsia="es-PE"/>
        </w:rPr>
        <w:t>de asesoría inmobiliaria que celebran de una parte de</w:t>
      </w:r>
      <w:r>
        <w:rPr>
          <w:rFonts w:ascii="Arial Narrow" w:hAnsi="Arial Narrow" w:eastAsia="Times New Roman" w:cs="Times New Roman"/>
          <w:b/>
          <w:bCs/>
          <w:lang w:eastAsia="es-PE"/>
        </w:rPr>
        <w:t xml:space="preserve"> TERRAFIRMA ASESORÍA &amp; CONSULTORIA S.A.C.</w:t>
      </w:r>
      <w:r>
        <w:rPr>
          <w:rFonts w:ascii="Arial Narrow" w:hAnsi="Arial Narrow" w:eastAsia="Times New Roman" w:cs="Times New Roman"/>
          <w:lang w:eastAsia="es-PE"/>
        </w:rPr>
        <w:t xml:space="preserve"> con RUC: </w:t>
      </w:r>
      <w:r>
        <w:rPr>
          <w:rFonts w:ascii="Arial Narrow" w:hAnsi="Arial Narrow" w:cs="Arial"/>
        </w:rPr>
        <w:t xml:space="preserve">20612888141 </w:t>
      </w:r>
      <w:r>
        <w:rPr>
          <w:rFonts w:ascii="Arial Narrow" w:hAnsi="Arial Narrow" w:eastAsia="Times New Roman" w:cs="Times New Roman"/>
          <w:lang w:eastAsia="es-PE"/>
        </w:rPr>
        <w:t xml:space="preserve">– inscrita con la partida registral N° 11354514 de la SUNARP con Dirección: Santa Ana Av. Celestino Manchego Muñoz N°496, segundo piso, mano derecha.  representado por el </w:t>
      </w:r>
      <w:r>
        <w:rPr>
          <w:rFonts w:ascii="Arial Narrow" w:hAnsi="Arial Narrow" w:eastAsia="Times New Roman" w:cs="Times New Roman"/>
          <w:b/>
          <w:bCs/>
          <w:lang w:eastAsia="es-PE"/>
        </w:rPr>
        <w:t xml:space="preserve">CEO </w:t>
      </w:r>
      <w:r>
        <w:rPr>
          <w:rFonts w:ascii="Arial Narrow" w:hAnsi="Arial Narrow" w:cs="Arial"/>
          <w:b/>
          <w:bCs/>
        </w:rPr>
        <w:t xml:space="preserve">CRISTHIAN PLINIO CHANCHA CALDERON </w:t>
      </w:r>
      <w:r>
        <w:rPr>
          <w:rFonts w:ascii="Arial Narrow" w:hAnsi="Arial Narrow" w:cs="Arial"/>
        </w:rPr>
        <w:t>con</w:t>
      </w:r>
      <w:r>
        <w:rPr>
          <w:rFonts w:ascii="Arial Narrow" w:hAnsi="Arial Narrow" w:cs="Arial"/>
          <w:b/>
          <w:bCs/>
        </w:rPr>
        <w:t xml:space="preserve"> DNI 46200203</w:t>
      </w:r>
      <w:r>
        <w:rPr>
          <w:rFonts w:ascii="Arial Narrow" w:hAnsi="Arial Narrow" w:eastAsia="Times New Roman" w:cs="Times New Roman"/>
          <w:lang w:eastAsia="es-PE"/>
        </w:rPr>
        <w:t xml:space="preserve"> en su calidad de Gerente General en adelante denominada "TERRAFIRMA" y de la otra parte </w:t>
      </w:r>
      <w:r>
        <w:rPr>
          <w:rFonts w:ascii="Arial Narrow" w:hAnsi="Arial Narrow" w:eastAsia="Times New Roman" w:cs="Times New Roman"/>
          <w:bCs/>
          <w:lang w:eastAsia="es-PE"/>
        </w:rPr>
        <w:t xml:space="preserve">Sr (a). </w:t>
      </w:r>
      <w:bookmarkStart w:id="0" w:name="_Hlk227072996"/>
      <w:r>
        <w:rPr>
          <w:rFonts w:ascii="Arial Narrow" w:hAnsi="Arial Narrow" w:eastAsia="Times New Roman" w:cs="Times New Roman"/>
          <w:b/>
          <w:lang w:eastAsia="es-PE"/>
        </w:rPr>
        <w:t xml:space="preserve">ELSA AROTOMA HUAMANI, </w:t>
      </w:r>
      <w:bookmarkEnd w:id="0"/>
      <w:r>
        <w:rPr>
          <w:rFonts w:ascii="Arial Narrow" w:hAnsi="Arial Narrow" w:eastAsia="Times New Roman" w:cs="Times New Roman"/>
          <w:lang w:eastAsia="es-PE"/>
        </w:rPr>
        <w:t xml:space="preserve">con </w:t>
      </w:r>
      <w:r>
        <w:rPr>
          <w:rFonts w:ascii="Arial Narrow" w:hAnsi="Arial Narrow" w:eastAsia="Times New Roman" w:cs="Times New Roman"/>
          <w:b/>
          <w:bCs/>
          <w:lang w:eastAsia="es-PE"/>
        </w:rPr>
        <w:t>DNI N°</w:t>
      </w:r>
      <w:r>
        <w:rPr>
          <w:rFonts w:ascii="Arial Narrow" w:hAnsi="Arial Narrow"/>
        </w:rPr>
        <w:t xml:space="preserve"> </w:t>
      </w:r>
      <w:r>
        <w:rPr>
          <w:rFonts w:ascii="Arial Narrow" w:hAnsi="Arial Narrow"/>
          <w:b/>
          <w:bCs/>
        </w:rPr>
        <w:t xml:space="preserve">70360638, </w:t>
      </w:r>
      <w:r>
        <w:rPr>
          <w:rFonts w:ascii="Arial Narrow" w:hAnsi="Arial Narrow" w:eastAsia="Times New Roman" w:cs="Times New Roman"/>
          <w:lang w:eastAsia="es-PE"/>
        </w:rPr>
        <w:t xml:space="preserve">con ubicación en el Centro Poblado de </w:t>
      </w:r>
      <w:r>
        <w:rPr>
          <w:rFonts w:ascii="Arial Narrow" w:hAnsi="Arial Narrow" w:eastAsia="Times New Roman" w:cs="Times New Roman"/>
          <w:b/>
          <w:bCs/>
          <w:lang w:eastAsia="es-PE"/>
        </w:rPr>
        <w:t>HUANCAPITE,</w:t>
      </w:r>
      <w:r>
        <w:rPr>
          <w:rFonts w:ascii="Arial Narrow" w:hAnsi="Arial Narrow" w:eastAsia="Times New Roman" w:cs="Times New Roman"/>
          <w:lang w:eastAsia="es-PE"/>
        </w:rPr>
        <w:t xml:space="preserve"> distrito de</w:t>
      </w:r>
      <w:r>
        <w:rPr>
          <w:rFonts w:ascii="Arial Narrow" w:hAnsi="Arial Narrow" w:eastAsia="Times New Roman" w:cs="Times New Roman"/>
          <w:b/>
          <w:bCs/>
          <w:lang w:eastAsia="es-PE"/>
        </w:rPr>
        <w:t xml:space="preserve"> ANDABAMBA, </w:t>
      </w:r>
      <w:r>
        <w:rPr>
          <w:rFonts w:ascii="Arial Narrow" w:hAnsi="Arial Narrow" w:eastAsia="Times New Roman" w:cs="Times New Roman"/>
          <w:lang w:eastAsia="es-PE"/>
        </w:rPr>
        <w:t>provincia de</w:t>
      </w:r>
      <w:r>
        <w:rPr>
          <w:rFonts w:ascii="Arial Narrow" w:hAnsi="Arial Narrow" w:eastAsia="Times New Roman" w:cs="Times New Roman"/>
          <w:b/>
          <w:bCs/>
          <w:lang w:eastAsia="es-PE"/>
        </w:rPr>
        <w:t xml:space="preserve"> ACOBAMBA </w:t>
      </w:r>
      <w:r>
        <w:rPr>
          <w:rFonts w:ascii="Arial Narrow" w:hAnsi="Arial Narrow" w:eastAsia="Times New Roman" w:cs="Times New Roman"/>
          <w:lang w:eastAsia="es-PE"/>
        </w:rPr>
        <w:t xml:space="preserve">y departamento de </w:t>
      </w:r>
      <w:r>
        <w:rPr>
          <w:rFonts w:ascii="Arial Narrow" w:hAnsi="Arial Narrow" w:eastAsia="Times New Roman" w:cs="Times New Roman"/>
          <w:b/>
          <w:bCs/>
          <w:lang w:eastAsia="es-PE"/>
        </w:rPr>
        <w:t xml:space="preserve">HUANCAVELICA, </w:t>
      </w:r>
      <w:r>
        <w:rPr>
          <w:rFonts w:ascii="Arial Narrow" w:hAnsi="Arial Narrow" w:eastAsia="Times New Roman" w:cs="Times New Roman"/>
          <w:lang w:eastAsia="es-PE"/>
        </w:rPr>
        <w:t xml:space="preserve">con número de celular </w:t>
      </w:r>
      <w:r>
        <w:rPr>
          <w:rFonts w:ascii="Arial Narrow" w:hAnsi="Arial Narrow" w:eastAsia="Times New Roman" w:cs="Times New Roman"/>
          <w:b/>
          <w:bCs/>
          <w:lang w:eastAsia="es-PE"/>
        </w:rPr>
        <w:t>979769335</w:t>
      </w:r>
      <w:r>
        <w:rPr>
          <w:rFonts w:ascii="Arial Narrow" w:hAnsi="Arial Narrow" w:eastAsia="Times New Roman" w:cs="Times New Roman"/>
          <w:lang w:eastAsia="es-PE"/>
        </w:rPr>
        <w:t xml:space="preserve">, en adelante denominada </w:t>
      </w:r>
      <w:r>
        <w:rPr>
          <w:rFonts w:ascii="Arial Narrow" w:hAnsi="Arial Narrow" w:eastAsia="Times New Roman" w:cs="Times New Roman"/>
          <w:b/>
          <w:bCs/>
          <w:lang w:eastAsia="es-PE"/>
        </w:rPr>
        <w:t>“EL CLIENTE”,</w:t>
      </w:r>
      <w:r>
        <w:rPr>
          <w:rFonts w:ascii="Arial Narrow" w:hAnsi="Arial Narrow" w:eastAsia="Times New Roman" w:cs="Times New Roman"/>
          <w:lang w:eastAsia="es-PE"/>
        </w:rPr>
        <w:t xml:space="preserve"> de acuerdo a los términos y condiciones siguientes:</w:t>
      </w:r>
    </w:p>
    <w:p w14:paraId="47138729">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b/>
          <w:bCs/>
          <w:lang w:eastAsia="es-PE"/>
        </w:rPr>
        <w:t>CLAUSULA PRIMERA: ANTECEDENTES</w:t>
      </w:r>
    </w:p>
    <w:p w14:paraId="53351532">
      <w:pPr>
        <w:pStyle w:val="20"/>
        <w:numPr>
          <w:ilvl w:val="0"/>
          <w:numId w:val="1"/>
        </w:numPr>
        <w:tabs>
          <w:tab w:val="left" w:pos="426"/>
        </w:tabs>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Se realizó la celebración de contrato de asesoría para la titulación de propiedad del Centro Poblado de </w:t>
      </w:r>
      <w:r>
        <w:rPr>
          <w:rFonts w:ascii="Arial Narrow" w:hAnsi="Arial Narrow" w:eastAsia="Times New Roman" w:cs="Times New Roman"/>
          <w:b/>
          <w:bCs/>
          <w:lang w:eastAsia="es-PE"/>
        </w:rPr>
        <w:t>HUANCAPITE,</w:t>
      </w:r>
      <w:r>
        <w:rPr>
          <w:rFonts w:ascii="Arial Narrow" w:hAnsi="Arial Narrow" w:eastAsia="Times New Roman" w:cs="Times New Roman"/>
          <w:lang w:eastAsia="es-PE"/>
        </w:rPr>
        <w:t xml:space="preserve"> que mediante el inciso 2. de las disposiciones generales se deberá de comunicar cualquier modificación o enmienda en dicho contrato se debe realizar por escrito y firmado por ambas partes. </w:t>
      </w:r>
    </w:p>
    <w:p w14:paraId="367B0F2F">
      <w:pPr>
        <w:pStyle w:val="20"/>
        <w:numPr>
          <w:ilvl w:val="0"/>
          <w:numId w:val="1"/>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La empresa TERRAFIRMA es una empresa de personería jurídica, bajo el régimen de Sociedad Anónima Cerrada, que tiene por objeto social, los servicios de asesoría inmobiliaria. Y ha aceptado brindar el servicio especificado en el objeto del presente contrato a favor de EL CLIENTE</w:t>
      </w:r>
    </w:p>
    <w:p w14:paraId="74D8B880">
      <w:pPr>
        <w:pStyle w:val="20"/>
        <w:numPr>
          <w:ilvl w:val="0"/>
          <w:numId w:val="1"/>
        </w:numPr>
        <w:spacing w:before="100" w:beforeAutospacing="1" w:after="100" w:afterAutospacing="1" w:line="276" w:lineRule="auto"/>
        <w:jc w:val="both"/>
        <w:rPr>
          <w:rFonts w:ascii="Arial Narrow" w:hAnsi="Arial Narrow" w:eastAsia="Times New Roman" w:cs="Times New Roman"/>
          <w:b/>
          <w:bCs/>
          <w:lang w:eastAsia="es-PE"/>
        </w:rPr>
      </w:pPr>
      <w:r>
        <w:rPr>
          <w:rFonts w:ascii="Arial Narrow" w:hAnsi="Arial Narrow" w:eastAsia="Times New Roman" w:cs="Times New Roman"/>
          <w:lang w:eastAsia="es-PE"/>
        </w:rPr>
        <w:t xml:space="preserve">EL CLIENTE con ubicación en el Centro Poblado de </w:t>
      </w:r>
      <w:r>
        <w:rPr>
          <w:rFonts w:ascii="Arial Narrow" w:hAnsi="Arial Narrow" w:eastAsia="Times New Roman" w:cs="Times New Roman"/>
          <w:b/>
          <w:bCs/>
          <w:lang w:eastAsia="es-PE"/>
        </w:rPr>
        <w:t>HUANCAPITE,</w:t>
      </w:r>
      <w:r>
        <w:rPr>
          <w:rFonts w:ascii="Arial Narrow" w:hAnsi="Arial Narrow" w:eastAsia="Times New Roman" w:cs="Times New Roman"/>
          <w:lang w:eastAsia="es-PE"/>
        </w:rPr>
        <w:t xml:space="preserve"> distrito de</w:t>
      </w:r>
      <w:r>
        <w:rPr>
          <w:rFonts w:ascii="Arial Narrow" w:hAnsi="Arial Narrow" w:eastAsia="Times New Roman" w:cs="Times New Roman"/>
          <w:b/>
          <w:bCs/>
          <w:lang w:eastAsia="es-PE"/>
        </w:rPr>
        <w:t xml:space="preserve"> ANDABAMBA, </w:t>
      </w:r>
      <w:r>
        <w:rPr>
          <w:rFonts w:ascii="Arial Narrow" w:hAnsi="Arial Narrow" w:eastAsia="Times New Roman" w:cs="Times New Roman"/>
          <w:lang w:eastAsia="es-PE"/>
        </w:rPr>
        <w:t>provincia de</w:t>
      </w:r>
      <w:r>
        <w:rPr>
          <w:rFonts w:ascii="Arial Narrow" w:hAnsi="Arial Narrow" w:eastAsia="Times New Roman" w:cs="Times New Roman"/>
          <w:b/>
          <w:bCs/>
          <w:lang w:eastAsia="es-PE"/>
        </w:rPr>
        <w:t xml:space="preserve"> ACOBAMBA </w:t>
      </w:r>
      <w:r>
        <w:rPr>
          <w:rFonts w:ascii="Arial Narrow" w:hAnsi="Arial Narrow" w:eastAsia="Times New Roman" w:cs="Times New Roman"/>
          <w:lang w:eastAsia="es-PE"/>
        </w:rPr>
        <w:t xml:space="preserve">y departamento de </w:t>
      </w:r>
      <w:r>
        <w:rPr>
          <w:rFonts w:ascii="Arial Narrow" w:hAnsi="Arial Narrow" w:eastAsia="Times New Roman" w:cs="Times New Roman"/>
          <w:b/>
          <w:bCs/>
          <w:lang w:eastAsia="es-PE"/>
        </w:rPr>
        <w:t xml:space="preserve">HUANCAVELICA, </w:t>
      </w:r>
      <w:r>
        <w:rPr>
          <w:rFonts w:ascii="Arial Narrow" w:hAnsi="Arial Narrow" w:eastAsia="Times New Roman" w:cs="Times New Roman"/>
          <w:lang w:eastAsia="es-PE"/>
        </w:rPr>
        <w:t xml:space="preserve">representado por el(la) Sr.(a) </w:t>
      </w:r>
      <w:r>
        <w:rPr>
          <w:rFonts w:ascii="Arial Narrow" w:hAnsi="Arial Narrow" w:eastAsia="Times New Roman" w:cs="Times New Roman"/>
          <w:b/>
          <w:lang w:eastAsia="es-PE"/>
        </w:rPr>
        <w:t xml:space="preserve">ELSA AROTOMA HUAMANI, </w:t>
      </w:r>
      <w:r>
        <w:rPr>
          <w:rFonts w:ascii="Arial Narrow" w:hAnsi="Arial Narrow" w:eastAsia="Times New Roman" w:cs="Times New Roman"/>
          <w:lang w:eastAsia="es-PE"/>
        </w:rPr>
        <w:t>identificado con DNI N°</w:t>
      </w:r>
      <w:r>
        <w:rPr>
          <w:rFonts w:ascii="Arial Narrow" w:hAnsi="Arial Narrow"/>
        </w:rPr>
        <w:t xml:space="preserve"> </w:t>
      </w:r>
      <w:r>
        <w:rPr>
          <w:rFonts w:ascii="Arial Narrow" w:hAnsi="Arial Narrow"/>
          <w:b/>
          <w:bCs/>
        </w:rPr>
        <w:t>70360638.</w:t>
      </w:r>
    </w:p>
    <w:p w14:paraId="34613B4C">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SEGUNDA: BASE LEGAL</w:t>
      </w:r>
    </w:p>
    <w:p w14:paraId="112C9CA4">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Artículo 62° de la Constitución Política del Perú: </w:t>
      </w:r>
      <w:r>
        <w:rPr>
          <w:rFonts w:ascii="Arial Narrow" w:hAnsi="Arial Narrow"/>
        </w:rPr>
        <w:t xml:space="preserve">La libertad de contratar garantiza que las partes pueden pactar válidamente según las normas vigentes al tiempo del contrato. Los términos contractuales no pueden ser modificados por leyes u otras disposiciones de cualquier clase. </w:t>
      </w:r>
    </w:p>
    <w:p w14:paraId="778204BC">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Artículo 140° del código civil peruano que prescribe: </w:t>
      </w:r>
      <w:r>
        <w:rPr>
          <w:rFonts w:ascii="Arial Narrow" w:hAnsi="Arial Narrow"/>
        </w:rPr>
        <w:t xml:space="preserve">El acto jurídico es la manifestación de voluntad destinada a crear, regular, modificar o extinguir relaciones jurídicas. </w:t>
      </w:r>
    </w:p>
    <w:p w14:paraId="51FC933C">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rPr>
        <w:t>Artículo 141° del mencionado código que establece: La manifestación de voluntad puede ser expresa o tácita. Es expresa cuando se realiza en forma oral-escrita a través de cualquier medio directo, manual, mecánico, digital, electrónico, mediante la lengua de señas o algún medio alternativo de comunicación, incluyendo de ajustes razonables o de los apoyos requeridos por la persona.</w:t>
      </w:r>
    </w:p>
    <w:p w14:paraId="61A95736">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rPr>
        <w:t>Artículo 1321° del acotado código dice: Queda sujeto a la indemnización de daños y perjuicios quien no ejecuta sus obligaciones por dolo, culpa inexcusable o culpa leve. El resarcimiento por la inejecución de la obligación o por su cumplimiento parcial, tardío o defectuoso, comprende tanto el daño emergente como el lucro cesante, en cuanto sean consecuencia inmediata y directa de tal inejecución. Si la inejecución o el cumplimiento parcial, tardío o defectuoso de la obligación, obedecieran a culpa leve, el resarcimiento se limita al daño que podía preverse al tiempo en que ella fue contraída.</w:t>
      </w:r>
    </w:p>
    <w:p w14:paraId="38839A78">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rPr>
        <w:t>Artículo 1351° del mismo código manifiesta: El contrato es el acuerdo de dos o más partes para crear, regular, modificar o extinguir una relación jurídica patrimonial.</w:t>
      </w:r>
    </w:p>
    <w:p w14:paraId="2BC9BDFE">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rPr>
        <w:t>Ley 27972, Ley orgánica de las municipalidades, articulo X en el que expresa: que las municipalidades provinciales y distritales promueven el desarrollo local, en coordinación y asociación con los niveles de gobierno regional y nacional, con el objeto de facilitar la competitividad y propiciar las mejores condiciones de vida de su población.</w:t>
      </w:r>
    </w:p>
    <w:p w14:paraId="758A8F4A">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Ley 30156: </w:t>
      </w:r>
      <w:r>
        <w:rPr>
          <w:rFonts w:ascii="Arial Narrow" w:hAnsi="Arial Narrow"/>
        </w:rPr>
        <w:t>Ley que amplía los plazos de la titulación de terrenos ocupados por posesiones informales y dicta medidas para la formalización.</w:t>
      </w:r>
    </w:p>
    <w:p w14:paraId="5FA7F7CD">
      <w:pPr>
        <w:pStyle w:val="20"/>
        <w:numPr>
          <w:ilvl w:val="0"/>
          <w:numId w:val="2"/>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Ley 31560: Ley que otorga funciones compartidas a los gobiernos locales en los procesos de formalización de la propiedad informal</w:t>
      </w:r>
    </w:p>
    <w:p w14:paraId="49DA5F4B">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b/>
          <w:bCs/>
          <w:lang w:eastAsia="es-PE"/>
        </w:rPr>
        <w:t>CLAUSULA TERCERA: OBJETO DEL CONTRATO</w:t>
      </w:r>
    </w:p>
    <w:p w14:paraId="5986A8B2">
      <w:pPr>
        <w:pStyle w:val="20"/>
        <w:numPr>
          <w:ilvl w:val="0"/>
          <w:numId w:val="3"/>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TERRAFIRMA se compromete a prestar servicios de asesoría y gestión para la titulación del predio ocupado por EL CLIENTE, conforme a lo establecido por la normativa legal vigente en Perú.</w:t>
      </w:r>
    </w:p>
    <w:p w14:paraId="1E029673">
      <w:pPr>
        <w:numPr>
          <w:ilvl w:val="0"/>
          <w:numId w:val="3"/>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Los servicios incluirán, entre otros, la elaboración de expedientes técnicos, el saneamiento físico legal, levantamiento topográfico, la coordinación con las autoridades municipales competentes, y la representación legal ante dichas entidades para la obtención de los títulos de propiedad, conforme a las normas administrativas.</w:t>
      </w:r>
    </w:p>
    <w:p w14:paraId="64526ED3">
      <w:pPr>
        <w:numPr>
          <w:ilvl w:val="0"/>
          <w:numId w:val="3"/>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Fin de titulación por la municipalidad y asesoría a cargo de la empresa TERRAFIRMA.</w:t>
      </w:r>
    </w:p>
    <w:p w14:paraId="49728592">
      <w:pPr>
        <w:spacing w:before="100" w:beforeAutospacing="1" w:after="100" w:afterAutospacing="1" w:line="276" w:lineRule="auto"/>
        <w:jc w:val="both"/>
        <w:rPr>
          <w:rFonts w:ascii="Arial Narrow" w:hAnsi="Arial Narrow" w:eastAsia="Times New Roman" w:cs="Times New Roman"/>
          <w:b/>
          <w:bCs/>
          <w:lang w:eastAsia="es-PE"/>
        </w:rPr>
      </w:pPr>
      <w:r>
        <w:rPr>
          <w:rFonts w:ascii="Arial Narrow" w:hAnsi="Arial Narrow" w:eastAsia="Times New Roman" w:cs="Times New Roman"/>
          <w:b/>
          <w:bCs/>
          <w:lang w:eastAsia="es-PE"/>
        </w:rPr>
        <w:t>CLAUSULA CUARTA: OBLIGACIONES DE LAS PARTES</w:t>
      </w:r>
    </w:p>
    <w:p w14:paraId="497B019D">
      <w:pPr>
        <w:pStyle w:val="20"/>
        <w:spacing w:before="100" w:beforeAutospacing="1" w:after="100" w:afterAutospacing="1" w:line="276" w:lineRule="auto"/>
        <w:ind w:left="360"/>
        <w:jc w:val="both"/>
        <w:rPr>
          <w:rFonts w:ascii="Arial Narrow" w:hAnsi="Arial Narrow" w:eastAsia="Times New Roman" w:cs="Times New Roman"/>
          <w:b/>
          <w:bCs/>
          <w:lang w:eastAsia="es-PE"/>
        </w:rPr>
      </w:pPr>
      <w:r>
        <w:rPr>
          <w:rFonts w:ascii="Arial Narrow" w:hAnsi="Arial Narrow" w:eastAsia="Times New Roman" w:cs="Times New Roman"/>
          <w:b/>
          <w:bCs/>
          <w:lang w:eastAsia="es-PE"/>
        </w:rPr>
        <w:t>TERRAFIRMA</w:t>
      </w:r>
    </w:p>
    <w:p w14:paraId="0EF9BA22">
      <w:pPr>
        <w:pStyle w:val="20"/>
        <w:spacing w:before="100" w:beforeAutospacing="1" w:after="100" w:afterAutospacing="1" w:line="276" w:lineRule="auto"/>
        <w:ind w:left="360"/>
        <w:jc w:val="both"/>
        <w:rPr>
          <w:rFonts w:ascii="Arial Narrow" w:hAnsi="Arial Narrow" w:eastAsia="Times New Roman" w:cs="Times New Roman"/>
          <w:b/>
          <w:bCs/>
          <w:lang w:eastAsia="es-PE"/>
        </w:rPr>
      </w:pPr>
    </w:p>
    <w:p w14:paraId="1D665284">
      <w:pPr>
        <w:pStyle w:val="20"/>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Realizar un diagnóstico inicial de la situación legal y técnica del predio ocupado por EL CLIENTE</w:t>
      </w:r>
    </w:p>
    <w:p w14:paraId="79785336">
      <w:pPr>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Elaborar y presentar ante la municipalidad los expedientes técnicos y legales necesarios para la regularización y titulación de los predios.</w:t>
      </w:r>
    </w:p>
    <w:p w14:paraId="181D46D7">
      <w:pPr>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Brindar asesoramiento continuo y actualizaciones periódicas a los propietarios de dichos predios sobre el estado del proceso de titulación.</w:t>
      </w:r>
    </w:p>
    <w:p w14:paraId="3E9D95FB">
      <w:pPr>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Representar a la organización vecinal ante las autoridades competentes durante todo el proceso de titulación.</w:t>
      </w:r>
    </w:p>
    <w:p w14:paraId="333AD0E5">
      <w:pPr>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Informar oportunamente AL CLIENTE sobre la existencia de algún pago adicional o faltante dentro del proceso, debiendo justificarse el motivo de dicho pago.  </w:t>
      </w:r>
    </w:p>
    <w:p w14:paraId="2763C020">
      <w:pPr>
        <w:numPr>
          <w:ilvl w:val="0"/>
          <w:numId w:val="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Se deja constancia de que la empresa no asume el pago de las tasas municipales ni los costos correspondientes a la inscripción ante la Superintendencia Nacional de los Registros Públicos (SUNARP)</w:t>
      </w:r>
    </w:p>
    <w:p w14:paraId="6C4DEBCC">
      <w:pPr>
        <w:spacing w:after="100" w:afterAutospacing="1" w:line="276" w:lineRule="auto"/>
        <w:jc w:val="both"/>
        <w:rPr>
          <w:rFonts w:ascii="Arial Narrow" w:hAnsi="Arial Narrow" w:eastAsia="Times New Roman" w:cs="Times New Roman"/>
          <w:b/>
          <w:bCs/>
          <w:lang w:eastAsia="es-PE"/>
        </w:rPr>
      </w:pPr>
      <w:r>
        <w:rPr>
          <w:rFonts w:ascii="Arial Narrow" w:hAnsi="Arial Narrow" w:eastAsia="Times New Roman" w:cs="Times New Roman"/>
          <w:b/>
          <w:bCs/>
          <w:lang w:eastAsia="es-PE"/>
        </w:rPr>
        <w:t xml:space="preserve">    EL CLIENTE </w:t>
      </w:r>
    </w:p>
    <w:p w14:paraId="045BDF2F">
      <w:pPr>
        <w:pStyle w:val="20"/>
        <w:numPr>
          <w:ilvl w:val="0"/>
          <w:numId w:val="5"/>
        </w:numPr>
        <w:spacing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Proporcionar a TERRAFIRMA toda la documentación necesaria, información veraz y completa requerida para la elaboración de los expedientes técnicos y legales, esto incluye no alterar o dar testimonios irreales parcial o totalmente.</w:t>
      </w:r>
    </w:p>
    <w:p w14:paraId="538DBB1B">
      <w:pPr>
        <w:numPr>
          <w:ilvl w:val="0"/>
          <w:numId w:val="5"/>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Colaborar con TERRAFIRMA en la realización de visitas técnicas y cualquier otra actividad necesaria para el cumplimiento del objeto del contrato.</w:t>
      </w:r>
    </w:p>
    <w:p w14:paraId="7F4FDB03">
      <w:pPr>
        <w:numPr>
          <w:ilvl w:val="0"/>
          <w:numId w:val="5"/>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se obliga incondicionalmente a firmar todo tipo de documento privado y/o público a solicitud de TERRAFIRMA en cualquier momento, las que servirán para desarrollar la actividad prestacional, y otras que hay y/o que pudiera haber más adelante. Los daños que ocasionaría su incumplimiento por parte de EL CLIENTE no serán de responsabilidad alguna de TERRAFIRMA dejando a salvo las acciones que pudiera interponer por daño moral y/o económico TERRAFIRMA en contra de EL CLIENTE.</w:t>
      </w:r>
    </w:p>
    <w:p w14:paraId="3EBC39FE">
      <w:pPr>
        <w:numPr>
          <w:ilvl w:val="0"/>
          <w:numId w:val="5"/>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Pagar a TERRAFIRMA los honorarios por los servicios prestados de acuerdo a la cláusula octava de este contrato.</w:t>
      </w:r>
    </w:p>
    <w:p w14:paraId="560993F2">
      <w:pPr>
        <w:spacing w:before="100" w:beforeAutospacing="1" w:after="100" w:afterAutospacing="1" w:line="276" w:lineRule="auto"/>
        <w:jc w:val="both"/>
        <w:rPr>
          <w:rFonts w:ascii="Arial Narrow" w:hAnsi="Arial Narrow" w:eastAsia="Times New Roman" w:cs="Times New Roman"/>
          <w:b/>
          <w:bCs/>
          <w:lang w:eastAsia="es-PE"/>
        </w:rPr>
      </w:pPr>
      <w:r>
        <w:rPr>
          <w:rFonts w:ascii="Arial Narrow" w:hAnsi="Arial Narrow" w:eastAsia="Times New Roman" w:cs="Times New Roman"/>
          <w:b/>
          <w:lang w:eastAsia="es-PE"/>
        </w:rPr>
        <w:t>CLAUSULA QUINTA</w:t>
      </w:r>
      <w:r>
        <w:rPr>
          <w:rFonts w:ascii="Arial Narrow" w:hAnsi="Arial Narrow" w:eastAsia="Times New Roman" w:cs="Times New Roman"/>
          <w:b/>
          <w:bCs/>
          <w:lang w:eastAsia="es-PE"/>
        </w:rPr>
        <w:t>: CONFIDENCIALIDAD</w:t>
      </w:r>
    </w:p>
    <w:p w14:paraId="487DA07A">
      <w:pPr>
        <w:numPr>
          <w:ilvl w:val="0"/>
          <w:numId w:val="6"/>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TERRAFIRMA se compromete a mantener la confidencialidad de toda la información proporcionada por EL CLIENTE en el marco de este contrato.</w:t>
      </w:r>
    </w:p>
    <w:p w14:paraId="168241F0">
      <w:pPr>
        <w:pStyle w:val="20"/>
        <w:numPr>
          <w:ilvl w:val="0"/>
          <w:numId w:val="6"/>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TERRAFIRMA usara toda la información entregada por EL CLIENTE y se considera autorizada por este, las cuales se considerarán en calidad de declaración jurada, en merito a esto se podrá servir como los medios de prueba para fines que lo estime necesario TERRAFIRMA</w:t>
      </w:r>
    </w:p>
    <w:p w14:paraId="1E2850F5">
      <w:pPr>
        <w:pStyle w:val="20"/>
        <w:numPr>
          <w:ilvl w:val="0"/>
          <w:numId w:val="6"/>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no interpondrá reclamación alguna alegando deslealtad o la violación de secreto profesional ante TERRAFIRMA su representante o personal que labora en este, toda vez que actué en protección de otro cliente y/o su propio patrimonio en forma directa o indirecta.</w:t>
      </w:r>
    </w:p>
    <w:p w14:paraId="0BB68666">
      <w:pPr>
        <w:pStyle w:val="20"/>
        <w:numPr>
          <w:ilvl w:val="0"/>
          <w:numId w:val="6"/>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Toda información de acceso público con pago o sin él, así como de instituciones públicas o privadas que cualquier persona diferente de TERRAFIRMA pueda acceder con facilidad, no serán considerados secretos por lo que las dichas informaciones o documentos es libre de su uso por TERRAFIRMA. </w:t>
      </w:r>
    </w:p>
    <w:p w14:paraId="744E9DCA">
      <w:pPr>
        <w:pStyle w:val="20"/>
        <w:numPr>
          <w:ilvl w:val="0"/>
          <w:numId w:val="6"/>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por ningún motivo se apersonará a entidades como la Municipalidad y otras entidades estatales, para realizar en beneficio propio o de un tercero o cause perjuicio en cualquier trámite que es de competencia por parte de TERRAFIRMA, dejando a salvo el derecho a las indemnizaciones de daños y perjuicios que se puedan dar.</w:t>
      </w:r>
    </w:p>
    <w:p w14:paraId="07084B11">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b/>
          <w:bCs/>
          <w:lang w:eastAsia="es-PE"/>
        </w:rPr>
        <w:t>CLAUSULA SEXTA: DELIBERACIÓN DE RIESGO</w:t>
      </w:r>
    </w:p>
    <w:p w14:paraId="6434883E">
      <w:pPr>
        <w:pStyle w:val="20"/>
        <w:numPr>
          <w:ilvl w:val="0"/>
          <w:numId w:val="7"/>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presente contrato es celebrado por riesgo y ventura propia de EL CLIENTE. Por el que manifiesta su voluntad de no interponer acción alguna por imprudencia, impericia, falta de interés, u otra que pudiera alegar en el futuro contra TERRAFIRMA o sus representantes.</w:t>
      </w:r>
    </w:p>
    <w:p w14:paraId="4E5B8DC9">
      <w:pPr>
        <w:pStyle w:val="20"/>
        <w:numPr>
          <w:ilvl w:val="0"/>
          <w:numId w:val="7"/>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manifiesta que de existir responsabilidades contractuales y/o extracontractuales contra TERRAFIRMA, por causales de omisión oportuna de sus obligaciones asumidas expresamente, así como la diligencia errónea; no será materia de discusión en el fuero arbitral y/o judicial sin antes de verificar el cumplimiento de todas las obligaciones y pagos a favor de TERRAFIRMA. Entendiendo por lo anterior el cumplimiento de la totalidad de las obligaciones de prestación de servicios y entre otras.</w:t>
      </w:r>
    </w:p>
    <w:p w14:paraId="295B3B00">
      <w:pPr>
        <w:pStyle w:val="20"/>
        <w:numPr>
          <w:ilvl w:val="0"/>
          <w:numId w:val="7"/>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Las partes acuerdan que en situaciones de conflicto y/o controversia generada por la interpretación o por su incumplimiento del presente contrato, las mismas se interpretaran de forma más benéfica para TERRAFIRMA, toda vez que así lo decida la misma. Por consecuente EL CLIENTE asume todo riesgo por el ejerció de la presente cláusula de forma permanente.</w:t>
      </w:r>
    </w:p>
    <w:p w14:paraId="2BF346D1">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SÉPTIMA: DECLARACIONES</w:t>
      </w:r>
    </w:p>
    <w:p w14:paraId="2EF09545">
      <w:pPr>
        <w:pStyle w:val="20"/>
        <w:numPr>
          <w:ilvl w:val="0"/>
          <w:numId w:val="8"/>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declara conocer a cabalidad todas las normas internas políticas y formas de acción de TERRAFIRMA; por lo que se compromete no cuestionar bajo ninguna circunstancia. En el mismo sentido se entenderá que todos los cambios que en el futuro se pueda efectuar a criterio de TERRAFIRMA serán acatados por EL CLIENTE.</w:t>
      </w:r>
    </w:p>
    <w:p w14:paraId="2D6D3993">
      <w:pPr>
        <w:pStyle w:val="20"/>
        <w:numPr>
          <w:ilvl w:val="0"/>
          <w:numId w:val="8"/>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declara que todos los documentos y archivos que le entregue a TERRAFIRMA serán fieles, legales, idénticas a la original si fueran copias y toda información enviada se considera como declaración jurada hasta inclusive para con los terceros.</w:t>
      </w:r>
    </w:p>
    <w:p w14:paraId="60A957F0">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OCTAVA: RESPALDO DEL CONTRATO</w:t>
      </w:r>
    </w:p>
    <w:p w14:paraId="14BFEB59">
      <w:pPr>
        <w:pStyle w:val="20"/>
        <w:numPr>
          <w:ilvl w:val="0"/>
          <w:numId w:val="9"/>
        </w:num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lang w:eastAsia="es-PE"/>
        </w:rPr>
        <w:t>El presente contrato cuenta con el respaldo del Ministerio de Cultura del Perú, así como del Centro Nacional de Estimación, Prevención y Reducción del Riesgo de Desastres (CENEPRED).</w:t>
      </w:r>
    </w:p>
    <w:p w14:paraId="52469112">
      <w:pPr>
        <w:spacing w:before="100" w:beforeAutospacing="1" w:after="0"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NOVENA: FORMA DE PAGO DE S/ 700.00 SOLES</w:t>
      </w:r>
    </w:p>
    <w:p w14:paraId="6D19C1B4">
      <w:pPr>
        <w:pStyle w:val="20"/>
        <w:numPr>
          <w:ilvl w:val="0"/>
          <w:numId w:val="10"/>
        </w:numPr>
        <w:spacing w:before="100" w:beforeAutospacing="1" w:after="0" w:line="276" w:lineRule="auto"/>
        <w:jc w:val="both"/>
        <w:rPr>
          <w:rFonts w:ascii="Arial Narrow" w:hAnsi="Arial Narrow" w:eastAsia="Times New Roman" w:cs="Times New Roman"/>
          <w:bCs/>
          <w:lang w:eastAsia="es-PE"/>
        </w:rPr>
      </w:pPr>
      <w:r>
        <w:rPr>
          <w:rFonts w:ascii="Arial Narrow" w:hAnsi="Arial Narrow" w:eastAsia="Times New Roman" w:cs="Times New Roman"/>
          <w:bCs/>
          <w:lang w:eastAsia="es-PE"/>
        </w:rPr>
        <w:t xml:space="preserve">1er. Pago </w:t>
      </w:r>
      <w:r>
        <w:rPr>
          <w:rFonts w:ascii="Arial Narrow" w:hAnsi="Arial Narrow" w:eastAsia="Times New Roman" w:cs="Times New Roman"/>
          <w:b/>
          <w:lang w:eastAsia="es-PE"/>
        </w:rPr>
        <w:t xml:space="preserve">S/75.00 soles </w:t>
      </w:r>
      <w:r>
        <w:rPr>
          <w:rFonts w:ascii="Arial Narrow" w:hAnsi="Arial Narrow" w:eastAsia="Times New Roman" w:cs="Times New Roman"/>
          <w:bCs/>
          <w:lang w:eastAsia="es-PE"/>
        </w:rPr>
        <w:t xml:space="preserve">por tema de empadronamiento.  </w:t>
      </w:r>
    </w:p>
    <w:p w14:paraId="7838431E">
      <w:pPr>
        <w:pStyle w:val="20"/>
        <w:numPr>
          <w:ilvl w:val="0"/>
          <w:numId w:val="10"/>
        </w:numPr>
        <w:spacing w:before="100" w:beforeAutospacing="1" w:after="0" w:line="276" w:lineRule="auto"/>
        <w:jc w:val="both"/>
        <w:rPr>
          <w:rFonts w:ascii="Arial Narrow" w:hAnsi="Arial Narrow" w:eastAsia="Times New Roman" w:cs="Times New Roman"/>
          <w:b/>
          <w:lang w:eastAsia="es-PE"/>
        </w:rPr>
      </w:pPr>
      <w:r>
        <w:rPr>
          <w:rFonts w:ascii="Arial Narrow" w:hAnsi="Arial Narrow" w:eastAsia="Times New Roman" w:cs="Times New Roman"/>
          <w:lang w:eastAsia="es-PE"/>
        </w:rPr>
        <w:t xml:space="preserve">2do pago Total </w:t>
      </w:r>
      <w:r>
        <w:rPr>
          <w:rFonts w:ascii="Arial Narrow" w:hAnsi="Arial Narrow" w:eastAsia="Times New Roman" w:cs="Times New Roman"/>
          <w:b/>
          <w:bCs/>
          <w:lang w:eastAsia="es-PE"/>
        </w:rPr>
        <w:t>S/625.00 soles.</w:t>
      </w:r>
    </w:p>
    <w:p w14:paraId="2173BF1A">
      <w:pPr>
        <w:pStyle w:val="20"/>
        <w:spacing w:before="100" w:beforeAutospacing="1"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CLIENTE deberá abonar a la entrega del título de propiedad.</w:t>
      </w:r>
    </w:p>
    <w:p w14:paraId="2F9A72F7">
      <w:pPr>
        <w:pStyle w:val="20"/>
        <w:numPr>
          <w:ilvl w:val="0"/>
          <w:numId w:val="10"/>
        </w:numPr>
        <w:spacing w:before="100" w:beforeAutospacing="1" w:after="0" w:line="276" w:lineRule="auto"/>
        <w:jc w:val="both"/>
        <w:rPr>
          <w:rFonts w:ascii="Arial Narrow" w:hAnsi="Arial Narrow" w:eastAsia="Times New Roman" w:cs="Times New Roman"/>
          <w:lang w:eastAsia="es-PE"/>
        </w:rPr>
      </w:pPr>
      <w:bookmarkStart w:id="1" w:name="_Hlk226387563"/>
      <w:r>
        <w:rPr>
          <w:rFonts w:ascii="Arial Narrow" w:hAnsi="Arial Narrow" w:eastAsia="Times New Roman" w:cs="Times New Roman"/>
          <w:lang w:eastAsia="es-PE"/>
        </w:rPr>
        <w:t xml:space="preserve">Los pagos se realizarán a cualquiera de las siguientes cuentas: </w:t>
      </w:r>
    </w:p>
    <w:p w14:paraId="70669302">
      <w:pPr>
        <w:pStyle w:val="20"/>
        <w:numPr>
          <w:ilvl w:val="0"/>
          <w:numId w:val="11"/>
        </w:numPr>
        <w:spacing w:before="100" w:beforeAutospacing="1"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Cta. Caja Huancayo N° 107002211012780289, a nombre de TERRAFIRMA</w:t>
      </w:r>
      <w:r>
        <w:rPr>
          <w:rFonts w:ascii="Arial Narrow" w:hAnsi="Arial Narrow"/>
        </w:rPr>
        <w:t xml:space="preserve"> </w:t>
      </w:r>
      <w:r>
        <w:rPr>
          <w:rFonts w:ascii="Arial Narrow" w:hAnsi="Arial Narrow" w:eastAsia="Times New Roman" w:cs="Times New Roman"/>
          <w:lang w:eastAsia="es-PE"/>
        </w:rPr>
        <w:t>ASESORÍA &amp; CONSULTORIA S.A.C.</w:t>
      </w:r>
    </w:p>
    <w:p w14:paraId="7B558E80">
      <w:pPr>
        <w:pStyle w:val="20"/>
        <w:numPr>
          <w:ilvl w:val="0"/>
          <w:numId w:val="11"/>
        </w:numPr>
        <w:spacing w:before="100" w:beforeAutospacing="1"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BCP N° 35003248290032</w:t>
      </w:r>
      <w:bookmarkStart w:id="2" w:name="_Hlk226387519"/>
      <w:r>
        <w:rPr>
          <w:rFonts w:ascii="Arial Narrow" w:hAnsi="Arial Narrow" w:eastAsia="Times New Roman" w:cs="Times New Roman"/>
          <w:lang w:eastAsia="es-PE"/>
        </w:rPr>
        <w:t>, a nombre de CRISTHIAN PLINIO CHANCHA CALDERON.</w:t>
      </w:r>
      <w:bookmarkEnd w:id="2"/>
    </w:p>
    <w:p w14:paraId="0ABE0BE4">
      <w:pPr>
        <w:pStyle w:val="20"/>
        <w:numPr>
          <w:ilvl w:val="0"/>
          <w:numId w:val="11"/>
        </w:numPr>
        <w:spacing w:before="100" w:beforeAutospacing="1"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Cuenta interbancaria N° 00235010324829003273, a nombre de CRISTHIAN PLINIO CHANCHA CALDERON.</w:t>
      </w:r>
    </w:p>
    <w:bookmarkEnd w:id="1"/>
    <w:p w14:paraId="586E0962">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b/>
          <w:bCs/>
          <w:lang w:eastAsia="es-PE"/>
        </w:rPr>
        <w:t>CLAUSULA DECIMA: VIGENCIA Y TERMINACIÓN</w:t>
      </w:r>
    </w:p>
    <w:p w14:paraId="6441293E">
      <w:pPr>
        <w:numPr>
          <w:ilvl w:val="0"/>
          <w:numId w:val="12"/>
        </w:numPr>
        <w:spacing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 xml:space="preserve">El presente contrato entrará en vigor a partir de la fecha de su firma y tendrá una duración máxima de </w:t>
      </w:r>
      <w:r>
        <w:rPr>
          <w:rFonts w:ascii="Arial Narrow" w:hAnsi="Arial Narrow" w:eastAsia="Times New Roman" w:cs="Times New Roman"/>
          <w:b/>
          <w:bCs/>
          <w:lang w:eastAsia="es-PE"/>
        </w:rPr>
        <w:t>cinco (5) meses</w:t>
      </w:r>
      <w:r>
        <w:rPr>
          <w:rFonts w:ascii="Arial Narrow" w:hAnsi="Arial Narrow" w:eastAsia="Times New Roman" w:cs="Times New Roman"/>
          <w:lang w:eastAsia="es-PE"/>
        </w:rPr>
        <w:t xml:space="preserve">, o hasta la culminación del proceso de titulación y su respectiva entrega, lo que ocurra primero. </w:t>
      </w:r>
      <w:r>
        <w:rPr>
          <w:rFonts w:ascii="Arial Narrow" w:hAnsi="Arial Narrow" w:eastAsia="Times New Roman" w:cs="Times New Roman"/>
          <w:b/>
          <w:bCs/>
          <w:lang w:eastAsia="es-PE"/>
        </w:rPr>
        <w:t>Excepcionalmente</w:t>
      </w:r>
      <w:r>
        <w:rPr>
          <w:rFonts w:ascii="Arial Narrow" w:hAnsi="Arial Narrow" w:eastAsia="Times New Roman" w:cs="Times New Roman"/>
          <w:lang w:eastAsia="es-PE"/>
        </w:rPr>
        <w:t>, en caso de presentarse algún problema adicional que escape al control de la empresa, el plazo podrá ser ampliado, debiendo dicha ampliación ser debidamente justificada y comunicada oportunamente al cliente.</w:t>
      </w:r>
    </w:p>
    <w:p w14:paraId="35DDA970">
      <w:pPr>
        <w:spacing w:after="0" w:line="276" w:lineRule="auto"/>
        <w:ind w:left="720"/>
        <w:jc w:val="both"/>
        <w:rPr>
          <w:rFonts w:ascii="Arial Narrow" w:hAnsi="Arial Narrow" w:eastAsia="Times New Roman" w:cs="Times New Roman"/>
          <w:lang w:eastAsia="es-PE"/>
        </w:rPr>
      </w:pPr>
    </w:p>
    <w:p w14:paraId="7647AC91">
      <w:pPr>
        <w:numPr>
          <w:ilvl w:val="0"/>
          <w:numId w:val="12"/>
        </w:numPr>
        <w:spacing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El presente contrato se mantendrá vigente en el tiempo y espacio, toda vez que no se haya resuelto judicialmente y/o arbitralmente por las causales establecidas en el presente contrato.</w:t>
      </w:r>
    </w:p>
    <w:p w14:paraId="17F812E3">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DECIMO PRIMERA: SUSPENSIÓN Y MODIFICACIÓN</w:t>
      </w:r>
    </w:p>
    <w:p w14:paraId="22F94CBB">
      <w:pPr>
        <w:pStyle w:val="20"/>
        <w:numPr>
          <w:ilvl w:val="0"/>
          <w:numId w:val="13"/>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TERRAFIRMA podrá suspender la prestación del servicio cuando haya el incumplimiento parcial o total de parte de EL CLIENTE, a pesar de estar suspendido el servicio en forma parcial o total EL CLIENTE se mantendrá obligado pagar el monto hasta por tiempos que se ha mantenido suspendido el servicio.</w:t>
      </w:r>
    </w:p>
    <w:p w14:paraId="51017999">
      <w:pPr>
        <w:pStyle w:val="20"/>
        <w:numPr>
          <w:ilvl w:val="0"/>
          <w:numId w:val="13"/>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Cuando EL CLIENTE incumpla parcial y/o total en forma reiterada las obligaciones del contrato, no realice pago en su oportunidad correspondiente y entre otras que genere perjuicio a TERRAFIRMA, se le deberá indemnizar por daños y perjuicios más el interés moratorio que hubiere acorde al artículo 1324° del código civil.</w:t>
      </w:r>
    </w:p>
    <w:p w14:paraId="642966DA">
      <w:pPr>
        <w:numPr>
          <w:ilvl w:val="0"/>
          <w:numId w:val="13"/>
        </w:numPr>
        <w:spacing w:before="100" w:beforeAutospacing="1" w:after="0"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Cualquier modificación, adición, supresión, o enmienda a este contrato deberá realizarse por escrito y estar firmada por ambas partes.</w:t>
      </w:r>
    </w:p>
    <w:p w14:paraId="6EED1F89">
      <w:pPr>
        <w:spacing w:before="100" w:beforeAutospacing="1" w:after="0" w:line="276" w:lineRule="auto"/>
        <w:jc w:val="both"/>
        <w:rPr>
          <w:rFonts w:ascii="Arial Narrow" w:hAnsi="Arial Narrow" w:eastAsia="Times New Roman" w:cs="Times New Roman"/>
          <w:lang w:eastAsia="es-PE"/>
        </w:rPr>
      </w:pPr>
    </w:p>
    <w:p w14:paraId="7C5EDFE8">
      <w:pPr>
        <w:spacing w:before="100" w:beforeAutospacing="1" w:after="0" w:line="276" w:lineRule="auto"/>
        <w:jc w:val="both"/>
        <w:rPr>
          <w:rFonts w:ascii="Arial Narrow" w:hAnsi="Arial Narrow" w:eastAsia="Times New Roman" w:cs="Times New Roman"/>
          <w:lang w:eastAsia="es-PE"/>
        </w:rPr>
      </w:pPr>
    </w:p>
    <w:p w14:paraId="411FEA81">
      <w:pPr>
        <w:spacing w:before="100" w:beforeAutospacing="1" w:after="0"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DECIMO SEGUNDA: ARBITRAJE</w:t>
      </w:r>
    </w:p>
    <w:p w14:paraId="00744097">
      <w:pPr>
        <w:pStyle w:val="20"/>
        <w:numPr>
          <w:ilvl w:val="0"/>
          <w:numId w:val="14"/>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De mediar cualquier conflicto y/o controversia generada por o del presente contrato a elección de TERRAFIRMA sin mediar razón de su causa, podrá interponer la demanda en la vía arbitral o directamente someterlo al fuero judicial, por lo que EL CLIENTE no ejercerá cuestiones previas por las decisiones de TERRAFIRMA.</w:t>
      </w:r>
    </w:p>
    <w:p w14:paraId="328A6A35">
      <w:pPr>
        <w:spacing w:before="100" w:beforeAutospacing="1" w:after="100" w:afterAutospacing="1" w:line="276" w:lineRule="auto"/>
        <w:jc w:val="both"/>
        <w:rPr>
          <w:rFonts w:ascii="Arial Narrow" w:hAnsi="Arial Narrow" w:eastAsia="Times New Roman" w:cs="Times New Roman"/>
          <w:b/>
          <w:bCs/>
          <w:lang w:eastAsia="es-PE"/>
        </w:rPr>
      </w:pPr>
      <w:bookmarkStart w:id="3" w:name="_Hlk226389412"/>
      <w:r>
        <w:rPr>
          <w:rFonts w:ascii="Arial Narrow" w:hAnsi="Arial Narrow" w:eastAsia="Times New Roman" w:cs="Times New Roman"/>
          <w:b/>
          <w:bCs/>
          <w:lang w:eastAsia="es-PE"/>
        </w:rPr>
        <w:t>CLAUSULA DECIMO TERCERA: CLAUSULA PENAL</w:t>
      </w:r>
    </w:p>
    <w:p w14:paraId="03193D5D">
      <w:pPr>
        <w:pStyle w:val="20"/>
        <w:numPr>
          <w:ilvl w:val="0"/>
          <w:numId w:val="15"/>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Si EL CLIENTE, por motivos injustificados, no cumpliese con el pago en su totalidad establecidas en la octava cláusula de este contrato pagara a TERRAFIRMA una penalidad por cada día de atraso de S/ 10.00 (DIEZ CON 00/100 SOLES).</w:t>
      </w:r>
    </w:p>
    <w:p w14:paraId="30B9E31D">
      <w:pPr>
        <w:pStyle w:val="20"/>
        <w:numPr>
          <w:ilvl w:val="0"/>
          <w:numId w:val="15"/>
        </w:num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La parte perjudicada tiene derecho a exigir, además de la penalidad, el cumplimiento de la obligación, de conformidad con los artículos 1341° y 1342° del código civil.</w:t>
      </w:r>
    </w:p>
    <w:bookmarkEnd w:id="3"/>
    <w:p w14:paraId="06DE9FA6">
      <w:pPr>
        <w:spacing w:before="100" w:beforeAutospacing="1" w:after="100" w:afterAutospacing="1" w:line="276" w:lineRule="auto"/>
        <w:rPr>
          <w:rFonts w:ascii="Arial Narrow" w:hAnsi="Arial Narrow" w:eastAsia="Times New Roman" w:cs="Times New Roman"/>
          <w:b/>
          <w:lang w:eastAsia="es-PE"/>
        </w:rPr>
      </w:pPr>
      <w:r>
        <w:rPr>
          <w:rFonts w:ascii="Arial Narrow" w:hAnsi="Arial Narrow" w:eastAsia="Times New Roman" w:cs="Times New Roman"/>
          <w:b/>
          <w:lang w:eastAsia="es-PE"/>
        </w:rPr>
        <w:t>CLAUSULA DECIMO CUARTA: FACULTAD DE ELEVAR A ESCRITURA PÚBLICA</w:t>
      </w:r>
    </w:p>
    <w:p w14:paraId="0B96DCA2">
      <w:pPr>
        <w:pStyle w:val="20"/>
        <w:numPr>
          <w:ilvl w:val="0"/>
          <w:numId w:val="16"/>
        </w:numPr>
        <w:spacing w:before="100" w:beforeAutospacing="1" w:after="100" w:afterAutospacing="1" w:line="276" w:lineRule="auto"/>
        <w:jc w:val="both"/>
        <w:rPr>
          <w:rFonts w:ascii="Arial Narrow" w:hAnsi="Arial Narrow" w:eastAsia="Times New Roman" w:cs="Times New Roman"/>
          <w:b/>
          <w:bCs/>
          <w:lang w:eastAsia="es-PE"/>
        </w:rPr>
      </w:pPr>
      <w:r>
        <w:rPr>
          <w:rFonts w:ascii="Arial Narrow" w:hAnsi="Arial Narrow"/>
        </w:rPr>
        <w:t xml:space="preserve">Cualquiera de las partes podrá elevar a la escritura pública el presente contrato corriendo con los gastos por dicho costo. Para lo cual las partes se comprometen a firmar los documentos públicos y entre otras para su concretización. </w:t>
      </w:r>
    </w:p>
    <w:p w14:paraId="03B79181">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CLAUSULA DECIMO QUINTA: COMUNICACIONES</w:t>
      </w:r>
    </w:p>
    <w:p w14:paraId="3455ADD9">
      <w:pPr>
        <w:pStyle w:val="20"/>
        <w:numPr>
          <w:ilvl w:val="0"/>
          <w:numId w:val="17"/>
        </w:numPr>
        <w:spacing w:line="276" w:lineRule="auto"/>
        <w:jc w:val="both"/>
        <w:rPr>
          <w:rFonts w:ascii="Arial Narrow" w:hAnsi="Arial Narrow"/>
        </w:rPr>
      </w:pPr>
      <w:r>
        <w:rPr>
          <w:rFonts w:ascii="Arial Narrow" w:hAnsi="Arial Narrow"/>
        </w:rPr>
        <w:t>Para la validez de todas las comunicaciones y notificaciones a las partes, con motivo de la ejecución de este contrato, ambas señalan como sus respectivos domicilios los indicados en la introducción de este contrato. El cambio de domicilio de cualquiera de las partes surtirá efecto desde la fecha de comunicación de dicho cambio a la otra parte, por cualquier medio escrito.</w:t>
      </w:r>
    </w:p>
    <w:p w14:paraId="1F68CC1E">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 xml:space="preserve">CLÁUSULA DECIMO SEXTA: PROHIBICIONES </w:t>
      </w:r>
    </w:p>
    <w:p w14:paraId="126B6A07">
      <w:pPr>
        <w:pStyle w:val="20"/>
        <w:numPr>
          <w:ilvl w:val="0"/>
          <w:numId w:val="18"/>
        </w:numPr>
        <w:spacing w:line="276" w:lineRule="auto"/>
        <w:jc w:val="both"/>
        <w:rPr>
          <w:rFonts w:ascii="Arial Narrow" w:hAnsi="Arial Narrow"/>
        </w:rPr>
      </w:pPr>
      <w:r>
        <w:rPr>
          <w:rFonts w:ascii="Arial Narrow" w:hAnsi="Arial Narrow"/>
        </w:rPr>
        <w:t>Coordinaciones No Autorizadas:</w:t>
      </w:r>
    </w:p>
    <w:p w14:paraId="3DCF3AD3">
      <w:pPr>
        <w:pStyle w:val="20"/>
        <w:spacing w:line="276" w:lineRule="auto"/>
        <w:jc w:val="both"/>
        <w:rPr>
          <w:rFonts w:ascii="Arial Narrow" w:hAnsi="Arial Narrow"/>
        </w:rPr>
      </w:pPr>
      <w:r>
        <w:rPr>
          <w:rFonts w:ascii="Arial Narrow" w:hAnsi="Arial Narrow"/>
        </w:rPr>
        <w:t>Queda estrictamente prohibido que EL CLIENTE realice cualquier tipo de coordinación o gestión relacionada con el objeto del presente contrato con entidades públicas, privadas o terceros, sin conocimiento y autorización expresa de TERRAFIRMA. El incumplimiento de esta disposición será motivo de resolución inmediata del contrato y generará una indemnización equivalente al 30% del monto total del contrato.</w:t>
      </w:r>
    </w:p>
    <w:p w14:paraId="61A05E4B">
      <w:pPr>
        <w:spacing w:before="100" w:beforeAutospacing="1" w:after="100" w:afterAutospacing="1" w:line="276" w:lineRule="auto"/>
        <w:jc w:val="both"/>
        <w:rPr>
          <w:rFonts w:ascii="Arial Narrow" w:hAnsi="Arial Narrow" w:eastAsia="Times New Roman" w:cs="Times New Roman"/>
          <w:b/>
          <w:lang w:eastAsia="es-PE"/>
        </w:rPr>
      </w:pPr>
      <w:r>
        <w:rPr>
          <w:rFonts w:ascii="Arial Narrow" w:hAnsi="Arial Narrow" w:eastAsia="Times New Roman" w:cs="Times New Roman"/>
          <w:b/>
          <w:lang w:eastAsia="es-PE"/>
        </w:rPr>
        <w:t xml:space="preserve">CLÁUSULA DÉCIMO SEPTIMA: ACCESO ESPECIAL PARA PERSONAS AFECTADAS POR TERRORISMO </w:t>
      </w:r>
    </w:p>
    <w:p w14:paraId="604E5A3B">
      <w:pPr>
        <w:pStyle w:val="20"/>
        <w:numPr>
          <w:ilvl w:val="0"/>
          <w:numId w:val="19"/>
        </w:numPr>
        <w:spacing w:line="276" w:lineRule="auto"/>
        <w:jc w:val="both"/>
        <w:rPr>
          <w:rFonts w:ascii="Arial Narrow" w:hAnsi="Arial Narrow"/>
        </w:rPr>
      </w:pPr>
      <w:r>
        <w:rPr>
          <w:rFonts w:ascii="Arial Narrow" w:hAnsi="Arial Narrow"/>
          <w:b/>
          <w:bCs/>
        </w:rPr>
        <w:t>Acceso a los Servicios:</w:t>
      </w:r>
    </w:p>
    <w:p w14:paraId="38E8745B">
      <w:pPr>
        <w:pStyle w:val="20"/>
        <w:spacing w:line="276" w:lineRule="auto"/>
        <w:jc w:val="both"/>
        <w:rPr>
          <w:rFonts w:ascii="Arial Narrow" w:hAnsi="Arial Narrow"/>
        </w:rPr>
      </w:pPr>
      <w:r>
        <w:rPr>
          <w:rFonts w:ascii="Arial Narrow" w:hAnsi="Arial Narrow"/>
        </w:rPr>
        <w:t>Este contrato está diseñado para incluir a personas afectadas por terrorismo en el Perú, quienes podrán acceder a los servicios de TERRAFIRMA bajo las mismas condiciones establecidas.</w:t>
      </w:r>
    </w:p>
    <w:p w14:paraId="48C4A89D">
      <w:pPr>
        <w:pStyle w:val="20"/>
        <w:spacing w:line="276" w:lineRule="auto"/>
        <w:jc w:val="both"/>
        <w:rPr>
          <w:rFonts w:ascii="Arial Narrow" w:hAnsi="Arial Narrow"/>
        </w:rPr>
      </w:pPr>
      <w:r>
        <w:rPr>
          <w:rFonts w:ascii="Arial Narrow" w:hAnsi="Arial Narrow"/>
        </w:rPr>
        <w:t>Se dará prioridad a estos casos en reconocimiento de la complejidad de su situación y conforme a las normativas vigentes.</w:t>
      </w:r>
    </w:p>
    <w:p w14:paraId="3B857BE8">
      <w:pPr>
        <w:spacing w:before="100" w:beforeAutospacing="1" w:after="100" w:afterAutospacing="1" w:line="276" w:lineRule="auto"/>
        <w:jc w:val="both"/>
        <w:rPr>
          <w:rFonts w:ascii="Arial Narrow" w:hAnsi="Arial Narrow" w:eastAsia="Times New Roman" w:cs="Times New Roman"/>
          <w:lang w:eastAsia="es-PE"/>
        </w:rPr>
      </w:pPr>
      <w:r>
        <w:rPr>
          <w:rFonts w:ascii="Arial Narrow" w:hAnsi="Arial Narrow" w:eastAsia="Times New Roman" w:cs="Times New Roman"/>
          <w:lang w:eastAsia="es-PE"/>
        </w:rPr>
        <w:t>En todo lo no previsto en el presente contrato las partes convienen aplicar en forma supletoria las normas del código civil, jurisprudencia civil, en esa prelación y sin el mayor prejuicio para TERRAFIRMA.</w:t>
      </w:r>
    </w:p>
    <w:p w14:paraId="0AEF4A34">
      <w:pPr>
        <w:spacing w:before="100" w:beforeAutospacing="1" w:after="100" w:afterAutospacing="1" w:line="276" w:lineRule="auto"/>
        <w:jc w:val="both"/>
        <w:rPr>
          <w:rFonts w:ascii="Arial Narrow" w:hAnsi="Arial Narrow" w:eastAsia="Times New Roman" w:cs="Times New Roman"/>
          <w:b/>
          <w:bCs/>
          <w:lang w:eastAsia="es-PE"/>
        </w:rPr>
      </w:pPr>
      <w:r>
        <w:rPr>
          <w:rFonts w:ascii="Arial Narrow" w:hAnsi="Arial Narrow" w:eastAsia="Times New Roman" w:cs="Times New Roman"/>
          <w:lang w:eastAsia="es-PE"/>
        </w:rPr>
        <w:t xml:space="preserve">En señal de conformidad, las partes firman el presente contrato en la ciudad de Huancavelica, </w:t>
      </w:r>
      <w:r>
        <w:rPr>
          <w:rFonts w:ascii="Arial Narrow" w:hAnsi="Arial Narrow" w:eastAsia="Times New Roman" w:cs="Times New Roman"/>
          <w:b/>
          <w:bCs/>
          <w:lang w:eastAsia="es-PE"/>
        </w:rPr>
        <w:t>14 de ABRIL del 2026.</w:t>
      </w:r>
    </w:p>
    <w:p w14:paraId="54A65A96">
      <w:pPr>
        <w:spacing w:before="100" w:beforeAutospacing="1" w:after="0" w:line="276" w:lineRule="auto"/>
        <w:rPr>
          <w:rFonts w:ascii="Arial Narrow" w:hAnsi="Arial Narrow" w:eastAsia="Times New Roman" w:cs="Times New Roman"/>
          <w:b/>
          <w:bCs/>
          <w:lang w:eastAsia="es-PE"/>
        </w:rPr>
      </w:pPr>
    </w:p>
    <w:p w14:paraId="29D3C8FF">
      <w:pPr>
        <w:spacing w:before="100" w:beforeAutospacing="1" w:after="0" w:line="276" w:lineRule="auto"/>
        <w:rPr>
          <w:rFonts w:ascii="Arial Narrow" w:hAnsi="Arial Narrow" w:eastAsia="Times New Roman" w:cs="Times New Roman"/>
          <w:b/>
          <w:bCs/>
          <w:lang w:eastAsia="es-PE"/>
        </w:rPr>
      </w:pPr>
    </w:p>
    <w:p w14:paraId="1C24E56D">
      <w:pPr>
        <w:spacing w:before="100" w:beforeAutospacing="1" w:after="0" w:line="276" w:lineRule="auto"/>
        <w:rPr>
          <w:rFonts w:ascii="Arial Narrow" w:hAnsi="Arial Narrow" w:eastAsia="Times New Roman" w:cs="Times New Roman"/>
          <w:b/>
          <w:bCs/>
          <w:lang w:eastAsia="es-PE"/>
        </w:rPr>
      </w:pPr>
    </w:p>
    <w:p w14:paraId="758D55FA">
      <w:pPr>
        <w:spacing w:before="100" w:beforeAutospacing="1" w:after="0" w:line="276" w:lineRule="auto"/>
        <w:rPr>
          <w:rFonts w:ascii="Arial Narrow" w:hAnsi="Arial Narrow" w:eastAsia="Times New Roman" w:cs="Times New Roman"/>
          <w:b/>
          <w:bCs/>
          <w:lang w:eastAsia="es-PE"/>
        </w:rPr>
      </w:pPr>
      <w:r>
        <w:rPr>
          <w:rFonts w:ascii="Arial Narrow" w:hAnsi="Arial Narrow" w:eastAsia="Times New Roman" w:cs="Times New Roman"/>
          <w:b/>
          <w:bCs/>
          <w:lang w:eastAsia="es-PE"/>
          <w14:ligatures w14:val="standardContextual"/>
        </w:rPr>
        <w:drawing>
          <wp:anchor distT="0" distB="0" distL="114300" distR="114300" simplePos="0" relativeHeight="251662336" behindDoc="0" locked="0" layoutInCell="1" allowOverlap="1">
            <wp:simplePos x="0" y="0"/>
            <wp:positionH relativeFrom="column">
              <wp:posOffset>1171575</wp:posOffset>
            </wp:positionH>
            <wp:positionV relativeFrom="paragraph">
              <wp:posOffset>6350</wp:posOffset>
            </wp:positionV>
            <wp:extent cx="1087120" cy="7251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7120" cy="725170"/>
                    </a:xfrm>
                    <a:prstGeom prst="rect">
                      <a:avLst/>
                    </a:prstGeom>
                  </pic:spPr>
                </pic:pic>
              </a:graphicData>
            </a:graphic>
          </wp:anchor>
        </w:drawing>
      </w:r>
      <w:r>
        <w:rPr>
          <w:rFonts w:ascii="Arial Narrow" w:hAnsi="Arial Narrow" w:eastAsia="Times New Roman" w:cs="Times New Roman"/>
          <w:b/>
          <w:lang w:eastAsia="es-PE"/>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2825115</wp:posOffset>
                </wp:positionH>
                <wp:positionV relativeFrom="paragraph">
                  <wp:posOffset>111760</wp:posOffset>
                </wp:positionV>
                <wp:extent cx="2922270" cy="817880"/>
                <wp:effectExtent l="0" t="0" r="11430" b="1270"/>
                <wp:wrapNone/>
                <wp:docPr id="858194717" name="Rectángulo 2"/>
                <wp:cNvGraphicFramePr/>
                <a:graphic xmlns:a="http://schemas.openxmlformats.org/drawingml/2006/main">
                  <a:graphicData uri="http://schemas.microsoft.com/office/word/2010/wordprocessingShape">
                    <wps:wsp>
                      <wps:cNvSpPr/>
                      <wps:spPr>
                        <a:xfrm>
                          <a:off x="0" y="0"/>
                          <a:ext cx="2922270" cy="81768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20B22CF">
                            <w:pPr>
                              <w:spacing w:after="0"/>
                              <w:jc w:val="center"/>
                              <w:rPr>
                                <w:rFonts w:ascii="Arial Narrow" w:hAnsi="Arial Narrow" w:eastAsia="Times New Roman" w:cs="Times New Roman"/>
                                <w:b/>
                                <w:lang w:eastAsia="es-PE"/>
                              </w:rPr>
                            </w:pPr>
                            <w:r>
                              <w:rPr>
                                <w:rFonts w:ascii="Arial Narrow" w:hAnsi="Arial Narrow" w:eastAsia="Times New Roman" w:cs="Times New Roman"/>
                                <w:b/>
                                <w:lang w:eastAsia="es-PE"/>
                              </w:rPr>
                              <w:t xml:space="preserve">ELSA AROTOMA HUAMANI </w:t>
                            </w:r>
                          </w:p>
                          <w:p w14:paraId="4BB593E2">
                            <w:pPr>
                              <w:spacing w:after="0"/>
                              <w:jc w:val="center"/>
                              <w:rPr>
                                <w:rFonts w:ascii="Arial Narrow" w:hAnsi="Arial Narrow" w:eastAsia="Times New Roman" w:cs="Times New Roman"/>
                                <w:b/>
                                <w:lang w:eastAsia="es-PE"/>
                              </w:rPr>
                            </w:pPr>
                            <w:r>
                              <w:rPr>
                                <w:rFonts w:ascii="Arial Narrow" w:hAnsi="Arial Narrow" w:eastAsia="Times New Roman" w:cs="Times New Roman"/>
                                <w:b/>
                                <w:bCs/>
                                <w:lang w:eastAsia="es-PE"/>
                              </w:rPr>
                              <w:t>DNI:</w:t>
                            </w:r>
                            <w:r>
                              <w:t xml:space="preserve"> </w:t>
                            </w:r>
                            <w:r>
                              <w:rPr>
                                <w:rFonts w:ascii="Arial Narrow" w:hAnsi="Arial Narrow"/>
                                <w:b/>
                                <w:bCs/>
                              </w:rPr>
                              <w:t>70360638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 o:spid="_x0000_s1026" o:spt="1" style="position:absolute;left:0pt;margin-left:222.45pt;margin-top:8.8pt;height:64.4pt;width:230.1pt;z-index:251663360;v-text-anchor:middle;mso-width-relative:page;mso-height-relative:page;" fillcolor="#FFFFFF [3201]" filled="t" stroked="f" coordsize="21600,21600" o:gfxdata="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TM/ANkAAAAKAQAADwAAAAAAAAABACAAAAAiAAAAZHJzL2Rv&#10;d25yZXYueG1sUEsBAhQAFAAAAAgAh07iQJqlV/pyAgAA4wQAAA4AAAAAAAAAAQAgAAAAKAEAAGRy&#10;cy9lMm9Eb2MueG1sUEsFBgAAAAAGAAYAWQEAAAwGAAAAAA==&#10;">
                <v:fill on="t" focussize="0,0"/>
                <v:stroke on="f" weight="1pt" miterlimit="8" joinstyle="miter"/>
                <v:imagedata o:title=""/>
                <o:lock v:ext="edit" aspectratio="f"/>
                <v:textbox>
                  <w:txbxContent>
                    <w:p w14:paraId="320B22CF">
                      <w:pPr>
                        <w:spacing w:after="0"/>
                        <w:jc w:val="center"/>
                        <w:rPr>
                          <w:rFonts w:ascii="Arial Narrow" w:hAnsi="Arial Narrow" w:eastAsia="Times New Roman" w:cs="Times New Roman"/>
                          <w:b/>
                          <w:lang w:eastAsia="es-PE"/>
                        </w:rPr>
                      </w:pPr>
                      <w:r>
                        <w:rPr>
                          <w:rFonts w:ascii="Arial Narrow" w:hAnsi="Arial Narrow" w:eastAsia="Times New Roman" w:cs="Times New Roman"/>
                          <w:b/>
                          <w:lang w:eastAsia="es-PE"/>
                        </w:rPr>
                        <w:t xml:space="preserve">ELSA AROTOMA HUAMANI </w:t>
                      </w:r>
                    </w:p>
                    <w:p w14:paraId="4BB593E2">
                      <w:pPr>
                        <w:spacing w:after="0"/>
                        <w:jc w:val="center"/>
                        <w:rPr>
                          <w:rFonts w:ascii="Arial Narrow" w:hAnsi="Arial Narrow" w:eastAsia="Times New Roman" w:cs="Times New Roman"/>
                          <w:b/>
                          <w:lang w:eastAsia="es-PE"/>
                        </w:rPr>
                      </w:pPr>
                      <w:r>
                        <w:rPr>
                          <w:rFonts w:ascii="Arial Narrow" w:hAnsi="Arial Narrow" w:eastAsia="Times New Roman" w:cs="Times New Roman"/>
                          <w:b/>
                          <w:bCs/>
                          <w:lang w:eastAsia="es-PE"/>
                        </w:rPr>
                        <w:t>DNI:</w:t>
                      </w:r>
                      <w:r>
                        <w:t xml:space="preserve"> </w:t>
                      </w:r>
                      <w:r>
                        <w:rPr>
                          <w:rFonts w:ascii="Arial Narrow" w:hAnsi="Arial Narrow"/>
                          <w:b/>
                          <w:bCs/>
                        </w:rPr>
                        <w:t>70360638</w:t>
                      </w:r>
                    </w:p>
                  </w:txbxContent>
                </v:textbox>
              </v:rect>
            </w:pict>
          </mc:Fallback>
        </mc:AlternateContent>
      </w:r>
      <w:r>
        <w:rPr>
          <w:rFonts w:ascii="Arial Narrow" w:hAnsi="Arial Narrow" w:eastAsia="Times New Roman" w:cs="Times New Roman"/>
          <w:b/>
          <w:lang w:eastAsia="es-PE"/>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3068955</wp:posOffset>
                </wp:positionH>
                <wp:positionV relativeFrom="paragraph">
                  <wp:posOffset>278130</wp:posOffset>
                </wp:positionV>
                <wp:extent cx="2355850" cy="0"/>
                <wp:effectExtent l="0" t="4445" r="0" b="5080"/>
                <wp:wrapNone/>
                <wp:docPr id="584008442" name="Conector recto 3"/>
                <wp:cNvGraphicFramePr/>
                <a:graphic xmlns:a="http://schemas.openxmlformats.org/drawingml/2006/main">
                  <a:graphicData uri="http://schemas.microsoft.com/office/word/2010/wordprocessingShape">
                    <wps:wsp>
                      <wps:cNvCnPr/>
                      <wps:spPr>
                        <a:xfrm>
                          <a:off x="0" y="0"/>
                          <a:ext cx="235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ector recto 3" o:spid="_x0000_s1026" o:spt="20" style="position:absolute;left:0pt;margin-left:241.65pt;margin-top:21.9pt;height:0pt;width:185.5pt;z-index:251664384;mso-width-relative:page;mso-height-relative:page;" filled="f" stroked="t" coordsize="21600,21600" o:gfxdata="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4fXuV1QAAAAkBAAAPAAAAAAAAAAEAIAAAACIA&#10;AABkcnMvZG93bnJldi54bWxQSwECFAAUAAAACACHTuJA0QLxytMBAAC4AwAADgAAAAAAAAABACAA&#10;AAAkAQAAZHJzL2Uyb0RvYy54bWxQSwUGAAAAAAYABgBZAQAAaQUAAAAA&#10;">
                <v:fill on="f" focussize="0,0"/>
                <v:stroke weight="0.5pt" color="#000000 [3200]" miterlimit="8" joinstyle="miter"/>
                <v:imagedata o:title=""/>
                <o:lock v:ext="edit" aspectratio="f"/>
              </v:line>
            </w:pict>
          </mc:Fallback>
        </mc:AlternateContent>
      </w:r>
      <w:r>
        <w:rPr>
          <w:rFonts w:ascii="Arial Narrow" w:hAnsi="Arial Narrow" w:eastAsia="Times New Roman" w:cs="Times New Roman"/>
          <w:b/>
          <w:bCs/>
          <w:lang w:eastAsia="es-PE"/>
          <w14:ligatures w14:val="standardContextual"/>
        </w:rPr>
        <w:drawing>
          <wp:anchor distT="0" distB="0" distL="114300" distR="114300" simplePos="0" relativeHeight="251661312" behindDoc="0" locked="0" layoutInCell="1" allowOverlap="1">
            <wp:simplePos x="0" y="0"/>
            <wp:positionH relativeFrom="column">
              <wp:posOffset>350520</wp:posOffset>
            </wp:positionH>
            <wp:positionV relativeFrom="paragraph">
              <wp:posOffset>212090</wp:posOffset>
            </wp:positionV>
            <wp:extent cx="1991995" cy="617220"/>
            <wp:effectExtent l="0" t="0" r="0" b="1143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1762" cy="617390"/>
                    </a:xfrm>
                    <a:prstGeom prst="rect">
                      <a:avLst/>
                    </a:prstGeom>
                  </pic:spPr>
                </pic:pic>
              </a:graphicData>
            </a:graphic>
          </wp:anchor>
        </w:drawing>
      </w:r>
    </w:p>
    <w:p w14:paraId="16C378D2">
      <w:pPr>
        <w:spacing w:after="0" w:line="276" w:lineRule="auto"/>
        <w:ind w:left="6096" w:hanging="6096"/>
        <w:rPr>
          <w:rFonts w:ascii="Arial Narrow" w:hAnsi="Arial Narrow" w:eastAsia="Times New Roman" w:cs="Times New Roman"/>
          <w:b/>
          <w:bCs/>
          <w:lang w:eastAsia="es-PE"/>
        </w:rPr>
      </w:pPr>
      <w:r>
        <w:rPr>
          <w:rFonts w:ascii="Arial Narrow" w:hAnsi="Arial Narrow" w:eastAsia="Times New Roman" w:cs="Times New Roman"/>
          <w:b/>
          <w:bCs/>
          <w:lang w:eastAsia="es-PE"/>
        </w:rPr>
        <w:t xml:space="preserve">                                                                                                                   </w:t>
      </w:r>
    </w:p>
    <w:p w14:paraId="1E974383">
      <w:pPr>
        <w:spacing w:after="0" w:line="276" w:lineRule="auto"/>
        <w:ind w:left="6096" w:hanging="1140"/>
        <w:rPr>
          <w:rFonts w:ascii="Arial Narrow" w:hAnsi="Arial Narrow" w:eastAsia="Times New Roman" w:cs="Times New Roman"/>
          <w:b/>
          <w:bCs/>
          <w:lang w:eastAsia="es-PE"/>
        </w:rPr>
      </w:pPr>
      <w:r>
        <w:drawing>
          <wp:anchor distT="0" distB="0" distL="114300" distR="114300" simplePos="0" relativeHeight="251665408" behindDoc="1" locked="0" layoutInCell="1" allowOverlap="1">
            <wp:simplePos x="0" y="0"/>
            <wp:positionH relativeFrom="column">
              <wp:posOffset>77470</wp:posOffset>
            </wp:positionH>
            <wp:positionV relativeFrom="paragraph">
              <wp:posOffset>5011420</wp:posOffset>
            </wp:positionV>
            <wp:extent cx="1234440" cy="1234440"/>
            <wp:effectExtent l="0" t="0" r="3810" b="3810"/>
            <wp:wrapNone/>
            <wp:docPr id="858194718" name="Picture 85819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4718" name="Picture 858194718"/>
                    <pic:cNvPicPr>
                      <a:picLocks noChangeAspect="1"/>
                    </pic:cNvPicPr>
                  </pic:nvPicPr>
                  <pic:blipFill>
                    <a:blip r:embed="rId12"/>
                    <a:stretch>
                      <a:fillRect/>
                    </a:stretch>
                  </pic:blipFill>
                  <pic:spPr>
                    <a:xfrm>
                      <a:off x="0" y="0"/>
                      <a:ext cx="1234440" cy="1234440"/>
                    </a:xfrm>
                    <a:prstGeom prst="rect">
                      <a:avLst/>
                    </a:prstGeom>
                  </pic:spPr>
                </pic:pic>
              </a:graphicData>
            </a:graphic>
          </wp:anchor>
        </w:drawing>
      </w:r>
    </w:p>
    <w:p w14:paraId="370B8000">
      <w:pPr>
        <w:spacing w:line="276" w:lineRule="auto"/>
        <w:rPr>
          <w:rFonts w:ascii="Cambria Math" w:hAnsi="Cambria Math"/>
          <w:sz w:val="24"/>
          <w:szCs w:val="24"/>
        </w:rPr>
      </w:pPr>
      <w:bookmarkStart w:id="4" w:name="_GoBack"/>
      <w:bookmarkEnd w:id="4"/>
      <w:r>
        <w:drawing>
          <wp:anchor distT="0" distB="0" distL="114300" distR="114300" simplePos="0" relativeHeight="251667456" behindDoc="1" locked="0" layoutInCell="1" allowOverlap="1">
            <wp:simplePos x="0" y="0"/>
            <wp:positionH relativeFrom="column">
              <wp:posOffset>290195</wp:posOffset>
            </wp:positionH>
            <wp:positionV relativeFrom="paragraph">
              <wp:posOffset>1017905</wp:posOffset>
            </wp:positionV>
            <wp:extent cx="1234440" cy="1234440"/>
            <wp:effectExtent l="0" t="0" r="3810" b="3810"/>
            <wp:wrapNone/>
            <wp:docPr id="10" name="Picture 85819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58194718"/>
                    <pic:cNvPicPr>
                      <a:picLocks noChangeAspect="1"/>
                    </pic:cNvPicPr>
                  </pic:nvPicPr>
                  <pic:blipFill>
                    <a:blip r:embed="rId12"/>
                    <a:stretch>
                      <a:fillRect/>
                    </a:stretch>
                  </pic:blipFill>
                  <pic:spPr>
                    <a:xfrm>
                      <a:off x="0" y="0"/>
                      <a:ext cx="1234440" cy="1234440"/>
                    </a:xfrm>
                    <a:prstGeom prst="rect">
                      <a:avLst/>
                    </a:prstGeom>
                  </pic:spPr>
                </pic:pic>
              </a:graphicData>
            </a:graphic>
          </wp:anchor>
        </w:drawing>
      </w:r>
    </w:p>
    <w:sectPr>
      <w:headerReference r:id="rId7" w:type="first"/>
      <w:headerReference r:id="rId5" w:type="default"/>
      <w:footerReference r:id="rId8" w:type="default"/>
      <w:headerReference r:id="rId6" w:type="even"/>
      <w:pgSz w:w="11906" w:h="16838"/>
      <w:pgMar w:top="2241" w:right="1701" w:bottom="1417" w:left="1701" w:header="708" w:footer="708" w:gutter="0"/>
      <w:pgBorders w:offsetFrom="page">
        <w:top w:val="single" w:color="008000" w:sz="18" w:space="24"/>
        <w:bottom w:val="single" w:color="008000"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等线 Light">
    <w:altName w:val="AMGDT"/>
    <w:panose1 w:val="00000000000000000000"/>
    <w:charset w:val="00"/>
    <w:family w:val="auto"/>
    <w:pitch w:val="default"/>
    <w:sig w:usb0="00000000" w:usb1="00000000" w:usb2="00000000" w:usb3="00000000" w:csb0="00000000" w:csb1="00000000"/>
  </w:font>
  <w:font w:name="Dosis">
    <w:panose1 w:val="02010503020202060003"/>
    <w:charset w:val="00"/>
    <w:family w:val="auto"/>
    <w:pitch w:val="default"/>
    <w:sig w:usb0="A00000BF" w:usb1="5000207B" w:usb2="00000000" w:usb3="00000000" w:csb0="20000093"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5D793">
    <w:pPr>
      <w:pStyle w:val="8"/>
      <w:rPr>
        <w:color w:val="595959" w:themeColor="text1" w:themeTint="A6"/>
        <w:sz w:val="18"/>
        <w:szCs w:val="18"/>
        <w14:textFill>
          <w14:solidFill>
            <w14:schemeClr w14:val="tx1">
              <w14:lumMod w14:val="65000"/>
              <w14:lumOff w14:val="35000"/>
            </w14:schemeClr>
          </w14:solidFill>
        </w14:textFill>
      </w:rPr>
    </w:pPr>
    <w:r>
      <w:drawing>
        <wp:anchor distT="0" distB="0" distL="114300" distR="114300" simplePos="0" relativeHeight="251666432" behindDoc="1" locked="0" layoutInCell="1" allowOverlap="1">
          <wp:simplePos x="0" y="0"/>
          <wp:positionH relativeFrom="column">
            <wp:posOffset>-970280</wp:posOffset>
          </wp:positionH>
          <wp:positionV relativeFrom="paragraph">
            <wp:posOffset>-50165</wp:posOffset>
          </wp:positionV>
          <wp:extent cx="902970" cy="238125"/>
          <wp:effectExtent l="0" t="0" r="11430" b="9525"/>
          <wp:wrapNone/>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pic:cNvPicPr>
                    <a:picLocks noChangeAspect="1"/>
                  </pic:cNvPicPr>
                </pic:nvPicPr>
                <pic:blipFill>
                  <a:blip r:embed="rId1"/>
                  <a:stretch>
                    <a:fillRect/>
                  </a:stretch>
                </pic:blipFill>
                <pic:spPr>
                  <a:xfrm>
                    <a:off x="0" y="0"/>
                    <a:ext cx="902970" cy="238125"/>
                  </a:xfrm>
                  <a:prstGeom prst="rect">
                    <a:avLst/>
                  </a:prstGeom>
                  <a:noFill/>
                  <a:ln>
                    <a:noFill/>
                  </a:ln>
                </pic:spPr>
              </pic:pic>
            </a:graphicData>
          </a:graphic>
        </wp:anchor>
      </w:drawing>
    </w:r>
    <w:r>
      <w:rPr>
        <w:color w:val="595959" w:themeColor="text1" w:themeTint="A6"/>
        <w:sz w:val="18"/>
        <w:szCs w:val="18"/>
        <w14:textFill>
          <w14:solidFill>
            <w14:schemeClr w14:val="tx1">
              <w14:lumMod w14:val="65000"/>
              <w14:lumOff w14:val="35000"/>
            </w14:schemeClr>
          </w14:solidFill>
        </w14:textFill>
      </w:rPr>
      <w:t xml:space="preserve">Av. Celestino Manchego Muñoz N°496, segundo piso, referencia: frente a la pollería Huancayo – Huancavelica. </w:t>
    </w:r>
  </w:p>
  <w:p w14:paraId="251560B7">
    <w:pPr>
      <w:pStyle w:val="8"/>
      <w:jc w:val="center"/>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t>TERRAFIRMA SANEAMIENTO Y ASESORIAS S.A.C. RUC: 20612888141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A93DD">
    <w:pPr>
      <w:pStyle w:val="6"/>
      <w:tabs>
        <w:tab w:val="left" w:pos="3543"/>
        <w:tab w:val="clear" w:pos="4252"/>
        <w:tab w:val="clear" w:pos="8504"/>
      </w:tabs>
      <w:ind w:left="4956"/>
      <w:jc w:val="right"/>
      <w:rPr>
        <w:b/>
        <w:bCs/>
        <w:color w:val="595959" w:themeColor="text1" w:themeTint="A6"/>
        <w:sz w:val="18"/>
        <w:szCs w:val="18"/>
        <w14:textFill>
          <w14:solidFill>
            <w14:schemeClr w14:val="tx1">
              <w14:lumMod w14:val="65000"/>
              <w14:lumOff w14:val="35000"/>
            </w14:schemeClr>
          </w14:solidFill>
        </w14:textFill>
      </w:rPr>
    </w:pPr>
    <w:r>
      <w:rPr>
        <w:b/>
        <w:bCs/>
        <w:color w:val="595959" w:themeColor="text1" w:themeTint="A6"/>
        <w14:textFill>
          <w14:solidFill>
            <w14:schemeClr w14:val="tx1">
              <w14:lumMod w14:val="65000"/>
              <w14:lumOff w14:val="35000"/>
            </w14:schemeClr>
          </w14:solidFill>
        </w14:textFill>
      </w:rPr>
      <w:pict>
        <v:shape id="WordPictureWatermark854408548" o:spid="_x0000_s2051" o:spt="75" type="#_x0000_t75" style="position:absolute;left:0pt;height:425.05pt;width:425.0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r>
      <w:rPr>
        <w:b/>
        <w:bCs/>
        <w:color w:val="595959" w:themeColor="text1" w:themeTint="A6"/>
        <w14:textFill>
          <w14:solidFill>
            <w14:schemeClr w14:val="tx1">
              <w14:lumMod w14:val="65000"/>
              <w14:lumOff w14:val="35000"/>
            </w14:schemeClr>
          </w14:solidFill>
        </w14:textFill>
      </w:rPr>
      <w:drawing>
        <wp:anchor distT="0" distB="0" distL="114300" distR="114300" simplePos="0" relativeHeight="251659264" behindDoc="0" locked="0" layoutInCell="1" allowOverlap="1">
          <wp:simplePos x="0" y="0"/>
          <wp:positionH relativeFrom="column">
            <wp:posOffset>-631825</wp:posOffset>
          </wp:positionH>
          <wp:positionV relativeFrom="paragraph">
            <wp:posOffset>-269875</wp:posOffset>
          </wp:positionV>
          <wp:extent cx="1183640" cy="118364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84615" cy="1184615"/>
                  </a:xfrm>
                  <a:prstGeom prst="rect">
                    <a:avLst/>
                  </a:prstGeom>
                  <a:noFill/>
                </pic:spPr>
              </pic:pic>
            </a:graphicData>
          </a:graphic>
        </wp:anchor>
      </w:drawing>
    </w:r>
    <w:r>
      <w:rPr>
        <w:b/>
        <w:bCs/>
        <w:color w:val="595959" w:themeColor="text1" w:themeTint="A6"/>
        <w:sz w:val="18"/>
        <w:szCs w:val="18"/>
        <w14:textFill>
          <w14:solidFill>
            <w14:schemeClr w14:val="tx1">
              <w14:lumMod w14:val="65000"/>
              <w14:lumOff w14:val="35000"/>
            </w14:schemeClr>
          </w14:solidFill>
        </w14:textFill>
      </w:rPr>
      <w:t xml:space="preserve">TERRAFIRMA SANEAMIENTO &amp; ASESORÍA  </w:t>
    </w:r>
  </w:p>
  <w:p w14:paraId="03A1A9A1">
    <w:pPr>
      <w:pStyle w:val="6"/>
      <w:tabs>
        <w:tab w:val="left" w:pos="3543"/>
        <w:tab w:val="clear" w:pos="4252"/>
        <w:tab w:val="clear" w:pos="8504"/>
      </w:tabs>
      <w:ind w:left="4956"/>
      <w:jc w:val="right"/>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t>RUC N° 20612888141</w:t>
    </w:r>
  </w:p>
  <w:p w14:paraId="16B7CB3F">
    <w:pPr>
      <w:pStyle w:val="6"/>
      <w:tabs>
        <w:tab w:val="left" w:pos="3543"/>
        <w:tab w:val="clear" w:pos="4252"/>
        <w:tab w:val="clear" w:pos="8504"/>
      </w:tabs>
      <w:ind w:left="4956"/>
      <w:jc w:val="right"/>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t xml:space="preserve">Av. Manchego Muñoz N° 496 – Huancavelica. </w:t>
    </w:r>
  </w:p>
  <w:p w14:paraId="49D23FE6">
    <w:pPr>
      <w:pStyle w:val="6"/>
      <w:tabs>
        <w:tab w:val="left" w:pos="3543"/>
        <w:tab w:val="clear" w:pos="4252"/>
        <w:tab w:val="clear" w:pos="8504"/>
      </w:tabs>
      <w:jc w:val="right"/>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t>Contactos: 921047681/www.Terrafirmaperu.com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83898">
    <w:pPr>
      <w:pStyle w:val="6"/>
    </w:pPr>
    <w:r>
      <w:pict>
        <v:shape id="WordPictureWatermark854408547" o:spid="_x0000_s2050" o:spt="75" type="#_x0000_t75" style="position:absolute;left:0pt;height:425.05pt;width:425.0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15F6A">
    <w:pPr>
      <w:pStyle w:val="6"/>
    </w:pPr>
    <w:r>
      <w:pict>
        <v:shape id="WordPictureWatermark854408546" o:spid="_x0000_s2049" o:spt="75" type="#_x0000_t75" style="position:absolute;left:0pt;height:425.05pt;width:425.0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images-removebg-preview"/>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1103F"/>
    <w:multiLevelType w:val="multilevel"/>
    <w:tmpl w:val="025110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4FF650D"/>
    <w:multiLevelType w:val="multilevel"/>
    <w:tmpl w:val="04FF650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0BB13AA"/>
    <w:multiLevelType w:val="multilevel"/>
    <w:tmpl w:val="10BB13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2AB5F25"/>
    <w:multiLevelType w:val="multilevel"/>
    <w:tmpl w:val="12AB5F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3431CFF"/>
    <w:multiLevelType w:val="multilevel"/>
    <w:tmpl w:val="13431C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AD2975"/>
    <w:multiLevelType w:val="multilevel"/>
    <w:tmpl w:val="16AD297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9657338"/>
    <w:multiLevelType w:val="multilevel"/>
    <w:tmpl w:val="1965733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AB3694B"/>
    <w:multiLevelType w:val="multilevel"/>
    <w:tmpl w:val="1AB3694B"/>
    <w:lvl w:ilvl="0" w:tentative="0">
      <w:start w:val="1"/>
      <w:numFmt w:val="decimal"/>
      <w:lvlText w:val="%1."/>
      <w:lvlJc w:val="left"/>
      <w:pPr>
        <w:ind w:left="720" w:hanging="360"/>
      </w:pPr>
      <w:rPr>
        <w:rFonts w:hint="default" w:ascii="Dosis" w:hAnsi="Dosis"/>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B717E4D"/>
    <w:multiLevelType w:val="multilevel"/>
    <w:tmpl w:val="1B717E4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5E57ACF"/>
    <w:multiLevelType w:val="multilevel"/>
    <w:tmpl w:val="25E57A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B6A4D25"/>
    <w:multiLevelType w:val="multilevel"/>
    <w:tmpl w:val="2B6A4D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5F47F99"/>
    <w:multiLevelType w:val="multilevel"/>
    <w:tmpl w:val="35F47F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4DB3827"/>
    <w:multiLevelType w:val="multilevel"/>
    <w:tmpl w:val="44DB38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B43525D"/>
    <w:multiLevelType w:val="multilevel"/>
    <w:tmpl w:val="5B43525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D710A6F"/>
    <w:multiLevelType w:val="multilevel"/>
    <w:tmpl w:val="5D710A6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EAD2EBA"/>
    <w:multiLevelType w:val="multilevel"/>
    <w:tmpl w:val="6EAD2E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429243C"/>
    <w:multiLevelType w:val="multilevel"/>
    <w:tmpl w:val="742924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9755D90"/>
    <w:multiLevelType w:val="multilevel"/>
    <w:tmpl w:val="79755D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E3C2474"/>
    <w:multiLevelType w:val="multilevel"/>
    <w:tmpl w:val="7E3C247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5"/>
  </w:num>
  <w:num w:numId="2">
    <w:abstractNumId w:val="16"/>
  </w:num>
  <w:num w:numId="3">
    <w:abstractNumId w:val="0"/>
  </w:num>
  <w:num w:numId="4">
    <w:abstractNumId w:val="2"/>
  </w:num>
  <w:num w:numId="5">
    <w:abstractNumId w:val="11"/>
  </w:num>
  <w:num w:numId="6">
    <w:abstractNumId w:val="12"/>
  </w:num>
  <w:num w:numId="7">
    <w:abstractNumId w:val="4"/>
  </w:num>
  <w:num w:numId="8">
    <w:abstractNumId w:val="6"/>
  </w:num>
  <w:num w:numId="9">
    <w:abstractNumId w:val="3"/>
  </w:num>
  <w:num w:numId="10">
    <w:abstractNumId w:val="7"/>
  </w:num>
  <w:num w:numId="11">
    <w:abstractNumId w:val="1"/>
  </w:num>
  <w:num w:numId="12">
    <w:abstractNumId w:val="17"/>
  </w:num>
  <w:num w:numId="13">
    <w:abstractNumId w:val="10"/>
  </w:num>
  <w:num w:numId="14">
    <w:abstractNumId w:val="9"/>
  </w:num>
  <w:num w:numId="15">
    <w:abstractNumId w:val="14"/>
  </w:num>
  <w:num w:numId="16">
    <w:abstractNumId w:val="13"/>
  </w:num>
  <w:num w:numId="17">
    <w:abstractNumId w:val="5"/>
  </w:num>
  <w:num w:numId="18">
    <w:abstractNumId w:val="18"/>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hyphenationZone w:val="425"/>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13"/>
    <w:rsid w:val="00005803"/>
    <w:rsid w:val="000234B4"/>
    <w:rsid w:val="0008469C"/>
    <w:rsid w:val="000D3E61"/>
    <w:rsid w:val="000E7BEE"/>
    <w:rsid w:val="00157761"/>
    <w:rsid w:val="00194B42"/>
    <w:rsid w:val="001978CC"/>
    <w:rsid w:val="001B6F9E"/>
    <w:rsid w:val="001C3D3E"/>
    <w:rsid w:val="001E19D4"/>
    <w:rsid w:val="002002E1"/>
    <w:rsid w:val="00204599"/>
    <w:rsid w:val="00205615"/>
    <w:rsid w:val="00242E81"/>
    <w:rsid w:val="002772B7"/>
    <w:rsid w:val="0028205D"/>
    <w:rsid w:val="00327742"/>
    <w:rsid w:val="00342B33"/>
    <w:rsid w:val="00345EAA"/>
    <w:rsid w:val="003E3077"/>
    <w:rsid w:val="0043579A"/>
    <w:rsid w:val="004D3A24"/>
    <w:rsid w:val="00503A2A"/>
    <w:rsid w:val="005876A3"/>
    <w:rsid w:val="005C3A1D"/>
    <w:rsid w:val="005D0F2E"/>
    <w:rsid w:val="00642EB9"/>
    <w:rsid w:val="006655E7"/>
    <w:rsid w:val="00682813"/>
    <w:rsid w:val="006F291C"/>
    <w:rsid w:val="007665E9"/>
    <w:rsid w:val="007C5AAA"/>
    <w:rsid w:val="007D34D3"/>
    <w:rsid w:val="008618C3"/>
    <w:rsid w:val="008B2494"/>
    <w:rsid w:val="008F1695"/>
    <w:rsid w:val="00946F33"/>
    <w:rsid w:val="009E3E3E"/>
    <w:rsid w:val="00AD539E"/>
    <w:rsid w:val="00B64F67"/>
    <w:rsid w:val="00BD776A"/>
    <w:rsid w:val="00C60484"/>
    <w:rsid w:val="00C707A0"/>
    <w:rsid w:val="00CE4298"/>
    <w:rsid w:val="00D011B7"/>
    <w:rsid w:val="00D5611A"/>
    <w:rsid w:val="00D653F8"/>
    <w:rsid w:val="00D73D39"/>
    <w:rsid w:val="00DB09AD"/>
    <w:rsid w:val="00DB0AB4"/>
    <w:rsid w:val="00DB7623"/>
    <w:rsid w:val="00DC514A"/>
    <w:rsid w:val="00E61D4F"/>
    <w:rsid w:val="00EC1F5B"/>
    <w:rsid w:val="00EE5589"/>
    <w:rsid w:val="00F01AB6"/>
    <w:rsid w:val="00F8729F"/>
    <w:rsid w:val="06963438"/>
    <w:rsid w:val="10EF7E56"/>
    <w:rsid w:val="3A0F6DD0"/>
    <w:rsid w:val="63CA108D"/>
    <w:rsid w:val="7EAF209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PE" w:eastAsia="en-US" w:bidi="ar-SA"/>
    </w:rPr>
  </w:style>
  <w:style w:type="paragraph" w:styleId="2">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header"/>
    <w:basedOn w:val="1"/>
    <w:link w:val="11"/>
    <w:unhideWhenUsed/>
    <w:qFormat/>
    <w:uiPriority w:val="99"/>
    <w:pPr>
      <w:tabs>
        <w:tab w:val="center" w:pos="4252"/>
        <w:tab w:val="right" w:pos="8504"/>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PE"/>
    </w:rPr>
  </w:style>
  <w:style w:type="paragraph" w:styleId="8">
    <w:name w:val="footer"/>
    <w:basedOn w:val="1"/>
    <w:link w:val="12"/>
    <w:unhideWhenUsed/>
    <w:qFormat/>
    <w:uiPriority w:val="99"/>
    <w:pPr>
      <w:tabs>
        <w:tab w:val="center" w:pos="4252"/>
        <w:tab w:val="right" w:pos="8504"/>
      </w:tabs>
      <w:spacing w:after="0" w:line="240" w:lineRule="auto"/>
    </w:pPr>
  </w:style>
  <w:style w:type="paragraph" w:customStyle="1" w:styleId="9">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customStyle="1" w:styleId="10">
    <w:name w:val="text-token-text-primary"/>
    <w:basedOn w:val="3"/>
    <w:qFormat/>
    <w:uiPriority w:val="0"/>
  </w:style>
  <w:style w:type="character" w:customStyle="1" w:styleId="11">
    <w:name w:val="Encabezado Car"/>
    <w:basedOn w:val="3"/>
    <w:link w:val="6"/>
    <w:qFormat/>
    <w:uiPriority w:val="99"/>
  </w:style>
  <w:style w:type="character" w:customStyle="1" w:styleId="12">
    <w:name w:val="Pie de página Car"/>
    <w:basedOn w:val="3"/>
    <w:link w:val="8"/>
    <w:qFormat/>
    <w:uiPriority w:val="99"/>
  </w:style>
  <w:style w:type="character" w:customStyle="1" w:styleId="13">
    <w:name w:val="Título 3 Car"/>
    <w:basedOn w:val="3"/>
    <w:link w:val="2"/>
    <w:qFormat/>
    <w:uiPriority w:val="9"/>
    <w:rPr>
      <w:rFonts w:ascii="Times New Roman" w:hAnsi="Times New Roman" w:eastAsia="Times New Roman" w:cs="Times New Roman"/>
      <w:b/>
      <w:bCs/>
      <w:sz w:val="27"/>
      <w:szCs w:val="27"/>
      <w:lang w:eastAsia="es-PE"/>
    </w:rPr>
  </w:style>
  <w:style w:type="character" w:customStyle="1" w:styleId="14">
    <w:name w:val="whitespace-normal"/>
    <w:basedOn w:val="3"/>
    <w:qFormat/>
    <w:uiPriority w:val="0"/>
  </w:style>
  <w:style w:type="paragraph" w:customStyle="1" w:styleId="15">
    <w:name w:val="HTML Top of Form"/>
    <w:basedOn w:val="1"/>
    <w:next w:val="1"/>
    <w:link w:val="16"/>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lang w:eastAsia="es-PE"/>
    </w:rPr>
  </w:style>
  <w:style w:type="character" w:customStyle="1" w:styleId="16">
    <w:name w:val="z-Principio del formulario Car"/>
    <w:basedOn w:val="3"/>
    <w:link w:val="15"/>
    <w:semiHidden/>
    <w:qFormat/>
    <w:uiPriority w:val="99"/>
    <w:rPr>
      <w:rFonts w:ascii="Arial" w:hAnsi="Arial" w:eastAsia="Times New Roman" w:cs="Arial"/>
      <w:vanish/>
      <w:sz w:val="16"/>
      <w:szCs w:val="16"/>
      <w:lang w:eastAsia="es-PE"/>
    </w:rPr>
  </w:style>
  <w:style w:type="paragraph" w:customStyle="1" w:styleId="17">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PE"/>
    </w:rPr>
  </w:style>
  <w:style w:type="paragraph" w:customStyle="1" w:styleId="18">
    <w:name w:val="HTML Bottom of Form"/>
    <w:basedOn w:val="1"/>
    <w:next w:val="1"/>
    <w:link w:val="19"/>
    <w:semiHidden/>
    <w:unhideWhenUsed/>
    <w:qFormat/>
    <w:uiPriority w:val="99"/>
    <w:pPr>
      <w:pBdr>
        <w:top w:val="single" w:color="auto" w:sz="6" w:space="1"/>
      </w:pBdr>
      <w:spacing w:after="0" w:line="240" w:lineRule="auto"/>
      <w:jc w:val="center"/>
    </w:pPr>
    <w:rPr>
      <w:rFonts w:ascii="Arial" w:hAnsi="Arial" w:eastAsia="Times New Roman" w:cs="Arial"/>
      <w:vanish/>
      <w:sz w:val="16"/>
      <w:szCs w:val="16"/>
      <w:lang w:eastAsia="es-PE"/>
    </w:rPr>
  </w:style>
  <w:style w:type="character" w:customStyle="1" w:styleId="19">
    <w:name w:val="z-Final del formulario Car"/>
    <w:basedOn w:val="3"/>
    <w:link w:val="18"/>
    <w:semiHidden/>
    <w:qFormat/>
    <w:uiPriority w:val="99"/>
    <w:rPr>
      <w:rFonts w:ascii="Arial" w:hAnsi="Arial" w:eastAsia="Times New Roman" w:cs="Arial"/>
      <w:vanish/>
      <w:sz w:val="16"/>
      <w:szCs w:val="16"/>
      <w:lang w:eastAsia="es-PE"/>
    </w:r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2026-05-11T16:17:00Z</dcterms:created>
  <dc:creator>RUTH</dc:creator>
  <cp:lastModifiedBy>Cristhian Chancha Calderon</cp:lastModifiedBy>
  <cp:lastPrinted>2026-05-11T15:04:00Z</cp:lastPrinted>
  <dcterms:modified xsi:type="dcterms:W3CDTF">2026-05-11T23:10:23Z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eyJoZGlkIjoiY2E2MGEzNjVkYjk1ZTIyOTI3ZmJiODZlNDBjYTQ0Y2IiLCJ1c2VySWQiOiIyNDkxNzUyMzEyMTUyIn0=</vt:lpwstr>
  </property>
  <property fmtid="{D5CDD505-2E9C-101B-9397-08002B2CF9AE}" pid="3" name="KSOProductBuildVer">
    <vt:lpwstr>3082-12.1.0.25242</vt:lpwstr>
  </property>
  <property fmtid="{D5CDD505-2E9C-101B-9397-08002B2CF9AE}" pid="4" name="ICV">
    <vt:lpwstr>5DBCD08B6E45430387DFC0E0A91E606F_12</vt:lpwstr>
  </property>
</Properties>
</file>