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hw1</w:t>
      </w:r>
    </w:p>
    <w:p>
      <w:pPr>
        <w:pStyle w:val="Author"/>
      </w:pPr>
      <w:r>
        <w:t xml:space="preserve">chienhua.hsu</w:t>
      </w:r>
    </w:p>
    <w:p>
      <w:pPr>
        <w:pStyle w:val="Date"/>
      </w:pPr>
      <w:r>
        <w:t xml:space="preserve">2026-03-10</w:t>
      </w:r>
    </w:p>
    <w:bookmarkStart w:id="28" w:name="乳糖不耐症比例調查"/>
    <w:p>
      <w:pPr>
        <w:pStyle w:val="Heading1"/>
      </w:pPr>
      <w:r>
        <w:rPr>
          <w:rFonts w:hint="eastAsia"/>
        </w:rPr>
        <w:t xml:space="preserve">乳糖不耐症比例調查</w:t>
      </w:r>
    </w:p>
    <w:bookmarkStart w:id="20" w:name="事實"/>
    <w:p>
      <w:pPr>
        <w:pStyle w:val="Heading2"/>
      </w:pPr>
      <w:r>
        <w:rPr>
          <w:rFonts w:hint="eastAsia"/>
        </w:rPr>
        <w:t xml:space="preserve">事實</w:t>
      </w:r>
    </w:p>
    <w:p>
      <w:pPr>
        <w:pStyle w:val="FirstParagraph"/>
      </w:pPr>
      <w:r>
        <w:rPr>
          <w:rFonts w:hint="eastAsia"/>
        </w:rPr>
        <w:t xml:space="preserve">根據全球醫學統計，成年人患有乳糖不耐症（Lactose</w:t>
      </w:r>
      <w:r>
        <w:t xml:space="preserve"> </w:t>
      </w:r>
      <w:r>
        <w:rPr>
          <w:rFonts w:hint="eastAsia"/>
        </w:rPr>
        <w:t xml:space="preserve">Intolerance）的平均比例約為</w:t>
      </w:r>
      <w:r>
        <w:t xml:space="preserve"> 65% (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0.65</m:t>
        </m:r>
      </m:oMath>
      <w:r>
        <w:rPr>
          <w:rFonts w:hint="eastAsia"/>
        </w:rPr>
        <w:t xml:space="preserve">)。但在亞洲地區，由於基因差異，此比例通常被認為顯著較高。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全球平均</w:t>
            </w:r>
            <w:r>
              <w:t xml:space="preserve"> (H0)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65%</w:t>
            </w:r>
          </w:p>
        </w:tc>
      </w:tr>
    </w:tbl>
    <w:bookmarkEnd w:id="20"/>
    <w:bookmarkStart w:id="21" w:name="猜想"/>
    <w:p>
      <w:pPr>
        <w:pStyle w:val="Heading2"/>
      </w:pPr>
      <w:r>
        <w:rPr>
          <w:rFonts w:hint="eastAsia"/>
        </w:rPr>
        <w:t xml:space="preserve">猜想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傳說中，亞洲人因缺乏分解乳糖的酵素，比例遠高於全球平均。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針對周圍成年人進行小規模(n=10)抽樣，猜想其比例高於</w:t>
      </w:r>
      <w:r>
        <w:t xml:space="preserve"> 0.65。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利用統計檢定來審視這個猜想：</w:t>
      </w:r>
    </w:p>
    <w:p>
      <w:pPr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π</m:t>
        </m:r>
        <m:r>
          <m:rPr>
            <m:sty m:val="p"/>
          </m:rPr>
          <m:t>=</m:t>
        </m:r>
        <m:r>
          <m:t>0.65</m:t>
        </m:r>
      </m:oMath>
    </w:p>
    <w:p>
      <w:pPr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π</m:t>
        </m:r>
        <m:r>
          <m:rPr>
            <m:sty m:val="p"/>
          </m:rPr>
          <m:t>&gt;</m:t>
        </m:r>
        <m:r>
          <m:t>0.65</m:t>
        </m:r>
      </m:oMath>
    </w:p>
    <w:bookmarkEnd w:id="21"/>
    <w:bookmarkStart w:id="22" w:name="實驗"/>
    <w:p>
      <w:pPr>
        <w:pStyle w:val="Heading2"/>
      </w:pPr>
      <w:r>
        <w:rPr>
          <w:rFonts w:hint="eastAsia"/>
        </w:rPr>
        <w:t xml:space="preserve">實驗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隨機調查</w:t>
      </w:r>
      <w:r>
        <w:t xml:space="preserve"> 10 </w:t>
      </w:r>
      <w:r>
        <w:rPr>
          <w:rFonts w:hint="eastAsia"/>
        </w:rPr>
        <w:t xml:space="preserve">位成年人並記錄其飲用乳製品後的反應。</w:t>
      </w:r>
    </w:p>
    <w:bookmarkEnd w:id="22"/>
    <w:bookmarkStart w:id="23" w:name="觀察結果"/>
    <w:p>
      <w:pPr>
        <w:pStyle w:val="Heading2"/>
      </w:pPr>
      <w:r>
        <w:rPr>
          <w:rFonts w:hint="eastAsia"/>
        </w:rPr>
        <w:t xml:space="preserve">觀察結果：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親朋好友、同事參與調查人數為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具乳糖不耐症狀的人數為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(假設值)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樣本比例為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n</m:t>
        </m:r>
      </m:oMath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values here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pihat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n; pi0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</w:p>
    <w:bookmarkEnd w:id="23"/>
    <w:bookmarkStart w:id="24" w:name="區間估計-confidence-interval"/>
    <w:p>
      <w:pPr>
        <w:pStyle w:val="Heading2"/>
      </w:pPr>
      <w:r>
        <w:rPr>
          <w:rFonts w:hint="eastAsia"/>
        </w:rPr>
        <w:t xml:space="preserve">區間估計</w:t>
      </w:r>
      <w:r>
        <w:t xml:space="preserve"> (Confidence Interval)</w:t>
      </w:r>
    </w:p>
    <w:p>
      <w:pPr>
        <w:pStyle w:val="Compact"/>
        <w:numPr>
          <w:ilvl w:val="0"/>
          <w:numId w:val="1004"/>
        </w:numPr>
      </w:pPr>
      <w:r>
        <w:t xml:space="preserve">Wald Test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</m:d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pihat)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 </w:t>
      </w:r>
      <w:r>
        <w:br/>
      </w:r>
      <w:r>
        <w:rPr>
          <w:rStyle w:val="NormalTok"/>
        </w:rPr>
        <w:t xml:space="preserve">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pihat)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 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"Wald 95% CI is ["</w:t>
      </w:r>
      <w:r>
        <w:rPr>
          <w:rStyle w:val="NormalTok"/>
        </w:rPr>
        <w:t xml:space="preserve">, lb, ub, 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Wald 95% CI is [ 0.1901025 0.8098975 ]</w:t>
      </w:r>
    </w:p>
    <w:p>
      <w:pPr>
        <w:pStyle w:val="Compact"/>
        <w:numPr>
          <w:ilvl w:val="0"/>
          <w:numId w:val="1005"/>
        </w:numPr>
      </w:pPr>
      <w:r>
        <w:t xml:space="preserve">Score Test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z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z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z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z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</m:d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4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Sup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α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t>2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d>
                        </m:den>
                      </m:f>
                    </m:e>
                  </m:d>
                </m:e>
              </m:d>
            </m:e>
          </m:rad>
        </m:oMath>
      </m:oMathPara>
    </w:p>
    <w:p>
      <w:pPr>
        <w:pStyle w:val="SourceCode"/>
      </w:pPr>
      <w:r>
        <w:rPr>
          <w:rStyle w:val="NormalTok"/>
        </w:rPr>
        <w:t xml:space="preserve">z2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(z2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z2))</w:t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pihat)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z2))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z2))</w:t>
      </w:r>
      <w:r>
        <w:br/>
      </w:r>
      <w:r>
        <w:rPr>
          <w:rStyle w:val="NormalTok"/>
        </w:rPr>
        <w:t xml:space="preserve">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sig</w:t>
      </w:r>
      <w:r>
        <w:br/>
      </w:r>
      <w:r>
        <w:rPr>
          <w:rStyle w:val="NormalTok"/>
        </w:rPr>
        <w:t xml:space="preserve">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 95% CI is ["</w:t>
      </w:r>
      <w:r>
        <w:rPr>
          <w:rStyle w:val="NormalTok"/>
        </w:rPr>
        <w:t xml:space="preserve">, lb, ub, 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Score 95% CI is [ 0.3656063 0.6343937 ]</w:t>
      </w:r>
    </w:p>
    <w:bookmarkEnd w:id="24"/>
    <w:bookmarkStart w:id="27" w:name="假設檢定"/>
    <w:p>
      <w:pPr>
        <w:pStyle w:val="Heading2"/>
      </w:pPr>
      <w:r>
        <w:rPr>
          <w:rFonts w:hint="eastAsia"/>
        </w:rPr>
        <w:t xml:space="preserve">假設檢定</w:t>
      </w:r>
    </w:p>
    <w:bookmarkStart w:id="26" w:name="large-sample-approximation"/>
    <w:p>
      <w:pPr>
        <w:pStyle w:val="Heading3"/>
      </w:pPr>
      <w:r>
        <w:t xml:space="preserve">Large sample approximation</w:t>
      </w:r>
    </w:p>
    <w:p>
      <w:pPr>
        <w:pStyle w:val="Compact"/>
        <w:numPr>
          <w:ilvl w:val="0"/>
          <w:numId w:val="1006"/>
        </w:numPr>
      </w:pPr>
      <w:r>
        <w:t xml:space="preserve">Check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≥</m:t>
        </m:r>
        <m:r>
          <m:t>5</m:t>
        </m:r>
      </m:oMath>
    </w:p>
    <w:p>
      <w:pPr>
        <w:pStyle w:val="Compact"/>
        <w:numPr>
          <w:ilvl w:val="1"/>
          <w:numId w:val="1007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</w:p>
    <w:p>
      <w:pPr>
        <w:pStyle w:val="Compact"/>
        <w:numPr>
          <w:ilvl w:val="1"/>
          <w:numId w:val="1007"/>
        </w:numPr>
      </w:pPr>
      <m:oMath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pStyle w:val="Compact"/>
        <w:numPr>
          <w:ilvl w:val="1"/>
          <w:numId w:val="1007"/>
        </w:numPr>
      </w:pPr>
      <w:r>
        <w:t xml:space="preserve">Test statistics</w:t>
      </w:r>
    </w:p>
    <w:p>
      <w:pPr>
        <w:pStyle w:val="Compact"/>
        <w:numPr>
          <w:ilvl w:val="0"/>
          <w:numId w:val="1006"/>
        </w:numPr>
      </w:pPr>
      <w:r>
        <w:t xml:space="preserve">Wald Test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w:r>
        <w:t xml:space="preserve">Score Test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</m:oMath>
      </m:oMathPara>
    </w:p>
    <w:p>
      <w:pPr>
        <w:pStyle w:val="SourceCode"/>
      </w:pPr>
      <w:r>
        <w:rPr>
          <w:rStyle w:val="NormalTok"/>
        </w:rPr>
        <w:t xml:space="preserve">(pihat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pi0)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pihat)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</w:p>
    <w:p>
      <w:pPr>
        <w:pStyle w:val="SourceCode"/>
      </w:pPr>
      <w:r>
        <w:rPr>
          <w:rStyle w:val="VerbatimChar"/>
        </w:rPr>
        <w:t xml:space="preserve">## [1] -0.9486833</w:t>
      </w:r>
    </w:p>
    <w:p>
      <w:pPr>
        <w:pStyle w:val="SourceCode"/>
      </w:pPr>
      <w:r>
        <w:rPr>
          <w:rStyle w:val="NormalTok"/>
        </w:rPr>
        <w:t xml:space="preserve">(pihat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pi0)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pi0)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</w:p>
    <w:p>
      <w:pPr>
        <w:pStyle w:val="SourceCode"/>
      </w:pPr>
      <w:r>
        <w:rPr>
          <w:rStyle w:val="VerbatimChar"/>
        </w:rPr>
        <w:t xml:space="preserve">## [1] -0.9944903</w:t>
      </w:r>
    </w:p>
    <w:p>
      <w:pPr>
        <w:pStyle w:val="Compact"/>
        <w:numPr>
          <w:ilvl w:val="0"/>
          <w:numId w:val="1008"/>
        </w:numPr>
      </w:pPr>
      <w:r>
        <w:t xml:space="preserve">Critical value</w:t>
      </w:r>
      <w:r>
        <w:t xml:space="preserve"> </w:t>
      </w:r>
      <m:oMath>
        <m:r>
          <m:t>1.645</m:t>
        </m:r>
      </m:oMath>
      <w:r>
        <w:t xml:space="preserve"> </w:t>
      </w:r>
      <w:r>
        <w:t xml:space="preserve">(one-tailed)</w:t>
      </w:r>
    </w:p>
    <w:p>
      <w:pPr>
        <w:pStyle w:val="Compact"/>
        <w:numPr>
          <w:ilvl w:val="0"/>
          <w:numId w:val="1008"/>
        </w:numPr>
      </w:pPr>
      <w:r>
        <w:t xml:space="preserve">Decision:</w:t>
      </w:r>
    </w:p>
    <w:p>
      <w:pPr>
        <w:pStyle w:val="Compact"/>
        <w:numPr>
          <w:ilvl w:val="1"/>
          <w:numId w:val="1009"/>
        </w:numPr>
      </w:pPr>
      <w:r>
        <w:t xml:space="preserve">Walt Test: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&gt;</m:t>
        </m:r>
        <m:r>
          <m:t>1.645</m:t>
        </m:r>
      </m:oMath>
    </w:p>
    <w:p>
      <w:pPr>
        <w:pStyle w:val="Compact"/>
        <w:numPr>
          <w:ilvl w:val="1"/>
          <w:numId w:val="1009"/>
        </w:numPr>
      </w:pPr>
      <w:r>
        <w:t xml:space="preserve">Score Test: regject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1.645</m:t>
        </m:r>
      </m:oMath>
    </w:p>
    <w:p>
      <w:pPr>
        <w:pStyle w:val="Heading3"/>
        <w:numPr>
          <w:ilvl w:val="0"/>
          <w:numId w:val="1000"/>
        </w:numPr>
      </w:pPr>
      <w:bookmarkStart w:id="25" w:name="small-sample-exact-test"/>
      <w:r>
        <w:t xml:space="preserve">Small Sample Exact Test</w:t>
      </w:r>
      <w:bookmarkEnd w:id="25"/>
    </w:p>
    <w:p>
      <w:pPr>
        <w:pStyle w:val="Compact"/>
        <w:numPr>
          <w:ilvl w:val="1"/>
          <w:numId w:val="1010"/>
        </w:numPr>
      </w:pPr>
      <m:oMath>
        <m:r>
          <m:t>p</m:t>
        </m:r>
      </m:oMath>
      <w:r>
        <w:t xml:space="preserve">-value is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(x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 n, pi0)</w:t>
      </w:r>
    </w:p>
    <w:p>
      <w:pPr>
        <w:pStyle w:val="SourceCode"/>
      </w:pPr>
      <w:r>
        <w:rPr>
          <w:rStyle w:val="VerbatimChar"/>
        </w:rPr>
        <w:t xml:space="preserve">## [1] 0.9050659</w:t>
      </w:r>
    </w:p>
    <w:p>
      <w:pPr>
        <w:pStyle w:val="Compact"/>
        <w:numPr>
          <w:ilvl w:val="0"/>
          <w:numId w:val="1011"/>
        </w:numPr>
      </w:pPr>
      <w:r>
        <w:t xml:space="preserve">mid</w:t>
      </w:r>
      <w:r>
        <w:t xml:space="preserve"> </w:t>
      </w:r>
      <m:oMath>
        <m:r>
          <m:t>p</m:t>
        </m:r>
      </m:oMath>
      <w:r>
        <w:t xml:space="preserve">-value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(x, n, pi0)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(x, n, pi0)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0.8282807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hw1</dc:title>
  <dc:creator>chienhua.hsu</dc:creator>
  <cp:keywords/>
  <dcterms:created xsi:type="dcterms:W3CDTF">2026-03-13T08:47:44Z</dcterms:created>
  <dcterms:modified xsi:type="dcterms:W3CDTF">2026-03-13T08:47:44Z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2026-03-10</vt:lpwstr>
  </property>
  <property fmtid="{D5CDD505-2E9C-101B-9397-08002B2CF9AE}" pid="3" name="output">
    <vt:lpwstr/>
  </property>
</Properties>
</file>