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  <w:rPr>
          <w:b/>
          <w:bCs/>
          <w:sz w:val="32"/>
          <w:szCs w:val="32"/>
        </w:rPr>
      </w:pPr>
      <w:r/>
      <w:bookmarkStart w:id="0" w:name="_Toc96458440"/>
      <w:r/>
      <w:bookmarkStart w:id="1" w:name="_Toc87212694"/>
      <w:r/>
      <w:bookmarkStart w:id="2" w:name="_Toc93706795"/>
      <w:r/>
      <w:bookmarkStart w:id="3" w:name="_Toc93707243"/>
      <w:r/>
      <w:bookmarkStart w:id="4" w:name="_Toc94724023"/>
      <w:r/>
      <w:bookmarkStart w:id="5" w:name="_Toc94724420"/>
      <w:r/>
      <w:bookmarkStart w:id="6" w:name="_Toc95774128"/>
      <w:r/>
      <w:bookmarkStart w:id="7" w:name="_Toc96381611"/>
      <w:r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 xml:space="preserve">«Альтаир»</w:t>
      </w:r>
      <w:r>
        <w:rPr>
          <w:b/>
          <w:bCs/>
          <w:sz w:val="32"/>
          <w:szCs w:val="32"/>
        </w:rPr>
      </w:r>
    </w:p>
    <w:p>
      <w:pPr>
        <w:ind w:firstLine="0"/>
        <w:jc w:val="center"/>
        <w:rPr>
          <w:b/>
          <w:bCs/>
          <w:sz w:val="32"/>
          <w:szCs w:val="32"/>
        </w:rPr>
      </w:pPr>
      <w:r/>
      <w:bookmarkStart w:id="9" w:name="_Toc96458441"/>
      <w:r>
        <w:rPr>
          <w:b/>
          <w:bCs/>
          <w:sz w:val="32"/>
          <w:szCs w:val="32"/>
        </w:rPr>
        <w:t xml:space="preserve">(РТУ МИРЭА</w:t>
      </w:r>
      <w:bookmarkEnd w:id="1"/>
      <w:r>
        <w:rPr>
          <w:b/>
          <w:bCs/>
          <w:sz w:val="32"/>
          <w:szCs w:val="32"/>
        </w:rPr>
        <w:t xml:space="preserve">)</w:t>
      </w:r>
      <w:bookmarkEnd w:id="2"/>
      <w:r/>
      <w:bookmarkEnd w:id="3"/>
      <w:r/>
      <w:bookmarkEnd w:id="4"/>
      <w:r/>
      <w:bookmarkEnd w:id="5"/>
      <w:r/>
      <w:bookmarkEnd w:id="6"/>
      <w:r/>
      <w:bookmarkEnd w:id="7"/>
      <w:r/>
      <w:bookmarkEnd w:id="8"/>
      <w:r/>
      <w:bookmarkEnd w:id="9"/>
      <w:r/>
      <w:r>
        <w:rPr>
          <w:b/>
          <w:bCs/>
          <w:sz w:val="32"/>
          <w:szCs w:val="32"/>
        </w:rPr>
      </w:r>
    </w:p>
    <w:p>
      <w:pPr>
        <w:ind w:firstLine="0"/>
      </w:pPr>
      <w:r/>
      <w:r/>
    </w:p>
    <w:p>
      <w:pPr>
        <w:ind w:firstLine="0"/>
      </w:pPr>
      <w:r/>
      <w:r/>
    </w:p>
    <w:p>
      <w:pPr>
        <w:ind w:left="5" w:firstLine="0"/>
        <w:jc w:val="left"/>
        <w:spacing w:after="137" w:line="256" w:lineRule="auto"/>
      </w:pPr>
      <w:r>
        <w:rPr>
          <w:sz w:val="22"/>
        </w:rPr>
        <w:t xml:space="preserve"> </w:t>
      </w:r>
      <w:r/>
    </w:p>
    <w:p>
      <w:pPr>
        <w:ind w:left="5" w:firstLine="0"/>
        <w:jc w:val="left"/>
        <w:spacing w:after="137" w:line="256" w:lineRule="auto"/>
      </w:pPr>
      <w:r>
        <w:rPr>
          <w:sz w:val="22"/>
        </w:rPr>
        <w:t xml:space="preserve"> </w:t>
      </w:r>
      <w:r/>
    </w:p>
    <w:p>
      <w:pPr>
        <w:ind w:left="5" w:firstLine="0"/>
        <w:jc w:val="left"/>
        <w:spacing w:after="137" w:line="256" w:lineRule="auto"/>
      </w:pPr>
      <w:r/>
      <w:r/>
    </w:p>
    <w:p>
      <w:pPr>
        <w:ind w:left="5" w:firstLine="0"/>
        <w:jc w:val="left"/>
        <w:spacing w:after="137" w:line="256" w:lineRule="auto"/>
      </w:pPr>
      <w:r>
        <w:rPr>
          <w:sz w:val="22"/>
        </w:rPr>
        <w:t xml:space="preserve"> </w:t>
      </w:r>
      <w:r/>
    </w:p>
    <w:p>
      <w:pPr>
        <w:ind w:left="5" w:firstLine="0"/>
        <w:jc w:val="center"/>
        <w:spacing w:after="137" w:line="256" w:lineRule="auto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 xml:space="preserve">«</w:t>
      </w:r>
      <w:r>
        <w:rPr>
          <w:b/>
          <w:bCs/>
          <w:sz w:val="32"/>
          <w:szCs w:val="24"/>
        </w:rPr>
        <w:t xml:space="preserve">ПРИКЛАДНОЙ АНАЛИЗ ДАННЫХ</w:t>
      </w:r>
      <w:r>
        <w:rPr>
          <w:b/>
          <w:bCs/>
          <w:sz w:val="32"/>
          <w:szCs w:val="24"/>
        </w:rPr>
        <w:t xml:space="preserve">»</w:t>
      </w:r>
      <w:r>
        <w:rPr>
          <w:b/>
          <w:bCs/>
          <w:sz w:val="32"/>
          <w:szCs w:val="24"/>
        </w:rPr>
      </w:r>
    </w:p>
    <w:p>
      <w:pPr>
        <w:ind w:left="5" w:firstLine="0"/>
        <w:jc w:val="center"/>
        <w:spacing w:after="137" w:line="256" w:lineRule="auto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  <w:r>
        <w:rPr>
          <w:b/>
          <w:bCs/>
          <w:sz w:val="32"/>
          <w:szCs w:val="24"/>
        </w:rPr>
      </w:r>
    </w:p>
    <w:p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ОПИСАНИЕ ПРОЕКТА</w:t>
      </w:r>
      <w:r>
        <w:rPr>
          <w:b/>
          <w:bCs/>
          <w:sz w:val="32"/>
          <w:szCs w:val="32"/>
        </w:rPr>
      </w:r>
    </w:p>
    <w:p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«Шорох»</w:t>
      </w:r>
    </w:p>
    <w:p>
      <w:pPr>
        <w:ind w:left="5" w:firstLine="0"/>
        <w:jc w:val="left"/>
        <w:spacing w:after="160" w:line="256" w:lineRule="auto"/>
        <w:rPr>
          <w:b/>
          <w:sz w:val="44"/>
        </w:rPr>
      </w:pPr>
      <w:r>
        <w:rPr>
          <w:b/>
          <w:sz w:val="44"/>
        </w:rPr>
      </w:r>
      <w:r>
        <w:rPr>
          <w:b/>
          <w:sz w:val="44"/>
        </w:rPr>
      </w:r>
    </w:p>
    <w:p>
      <w:pPr>
        <w:ind w:left="5" w:firstLine="0"/>
        <w:jc w:val="left"/>
        <w:spacing w:after="160" w:line="256" w:lineRule="auto"/>
        <w:rPr>
          <w:b/>
          <w:sz w:val="44"/>
        </w:rPr>
      </w:pPr>
      <w:r>
        <w:rPr>
          <w:b/>
          <w:sz w:val="44"/>
        </w:rPr>
      </w:r>
      <w:r>
        <w:rPr>
          <w:b/>
          <w:sz w:val="44"/>
        </w:rPr>
      </w:r>
    </w:p>
    <w:p>
      <w:pPr>
        <w:ind w:left="5" w:firstLine="0"/>
        <w:jc w:val="left"/>
        <w:spacing w:after="160" w:line="256" w:lineRule="auto"/>
        <w:rPr>
          <w:b/>
          <w:sz w:val="44"/>
        </w:rPr>
      </w:pPr>
      <w:r>
        <w:rPr>
          <w:b/>
          <w:sz w:val="44"/>
        </w:rPr>
      </w:r>
      <w:r>
        <w:rPr>
          <w:b/>
          <w:sz w:val="44"/>
        </w:rPr>
      </w:r>
    </w:p>
    <w:p>
      <w:pPr>
        <w:ind w:firstLine="0"/>
        <w:jc w:val="right"/>
        <w:spacing w:after="160" w:line="256" w:lineRule="auto"/>
      </w:pPr>
      <w:r>
        <w:rPr>
          <w:rFonts w:eastAsia="Calibri"/>
        </w:rPr>
        <w:t xml:space="preserve">Деуленко Андрей Анатольевич</w:t>
      </w:r>
    </w:p>
    <w:p>
      <w:pPr>
        <w:ind w:right="2" w:firstLine="0"/>
        <w:jc w:val="right"/>
        <w:spacing w:line="256" w:lineRule="auto"/>
      </w:pPr>
      <w:r>
        <w:t xml:space="preserve">---------------------------------------</w:t>
      </w:r>
      <w:r/>
    </w:p>
    <w:p>
      <w:pPr>
        <w:ind w:right="2" w:firstLine="0"/>
        <w:jc w:val="right"/>
        <w:spacing w:line="256" w:lineRule="auto"/>
      </w:pPr>
      <w:r>
        <w:t xml:space="preserve">Ученик группы</w:t>
      </w:r>
      <w:r>
        <w:t xml:space="preserve"> </w:t>
      </w:r>
      <w:r>
        <w:t xml:space="preserve">ТДИ</w:t>
      </w:r>
      <w:r>
        <w:t xml:space="preserve">-0</w:t>
      </w:r>
      <w:r>
        <w:t xml:space="preserve">2</w:t>
      </w:r>
      <w:r>
        <w:t xml:space="preserve">-26</w:t>
      </w:r>
      <w:r/>
    </w:p>
    <w:p>
      <w:pPr>
        <w:ind w:right="2" w:firstLine="0"/>
        <w:jc w:val="right"/>
        <w:spacing w:line="256" w:lineRule="auto"/>
      </w:pPr>
      <w:r>
        <w:t xml:space="preserve">---------------------------------------</w:t>
      </w:r>
      <w:r/>
    </w:p>
    <w:p>
      <w:pPr>
        <w:ind w:right="2" w:firstLine="0"/>
        <w:jc w:val="right"/>
        <w:spacing w:line="256" w:lineRule="auto"/>
      </w:pPr>
      <w:r>
        <w:t xml:space="preserve">Руководител</w:t>
      </w:r>
      <w:r>
        <w:t xml:space="preserve">ь</w:t>
      </w:r>
      <w:r>
        <w:t xml:space="preserve">: </w:t>
      </w:r>
      <w:r/>
    </w:p>
    <w:p>
      <w:pPr>
        <w:ind w:right="2" w:firstLine="0"/>
        <w:jc w:val="right"/>
        <w:spacing w:line="256" w:lineRule="auto"/>
      </w:pPr>
      <w:r>
        <w:t xml:space="preserve">Борисов Артём Игоревич</w:t>
      </w:r>
      <w:r/>
    </w:p>
    <w:p>
      <w:pPr>
        <w:ind w:right="2" w:firstLine="0"/>
        <w:jc w:val="right"/>
        <w:spacing w:line="256" w:lineRule="auto"/>
      </w:pPr>
      <w:r>
        <w:t xml:space="preserve">---------------------------------------</w:t>
      </w:r>
      <w:r/>
    </w:p>
    <w:p>
      <w:pPr>
        <w:ind w:left="10" w:right="2" w:firstLine="0"/>
        <w:jc w:val="right"/>
        <w:spacing w:line="256" w:lineRule="auto"/>
        <w:rPr>
          <w:color w:val="000000" w:themeColor="text1"/>
          <w:szCs w:val="20"/>
          <w:shd w:val="clear" w:color="auto" w:fill="ffffff"/>
        </w:rPr>
      </w:pPr>
      <w:r>
        <w:t xml:space="preserve">Преподаватель </w:t>
      </w:r>
      <w:r>
        <w:t xml:space="preserve">д</w:t>
      </w:r>
      <w:r>
        <w:t xml:space="preserve">етского технопарка </w:t>
      </w:r>
      <w:r>
        <w:t xml:space="preserve">«</w:t>
      </w:r>
      <w:r>
        <w:t xml:space="preserve">Альтаир</w:t>
      </w:r>
      <w:r>
        <w:t xml:space="preserve">»</w:t>
      </w:r>
      <w:r>
        <w:t xml:space="preserve"> </w:t>
      </w:r>
      <w:r>
        <w:rPr>
          <w:color w:val="000000" w:themeColor="text1"/>
          <w:szCs w:val="20"/>
          <w:shd w:val="clear" w:color="auto" w:fill="ffffff"/>
        </w:rPr>
        <w:t xml:space="preserve">РТУ МИРЭА</w:t>
      </w:r>
      <w:r>
        <w:rPr>
          <w:color w:val="000000" w:themeColor="text1"/>
          <w:szCs w:val="20"/>
          <w:shd w:val="clear" w:color="auto" w:fill="ffffff"/>
        </w:rPr>
      </w:r>
    </w:p>
    <w:p>
      <w:pPr>
        <w:ind w:left="10" w:right="2" w:firstLine="0"/>
        <w:jc w:val="right"/>
        <w:spacing w:line="256" w:lineRule="auto"/>
        <w:rPr>
          <w:color w:val="000000" w:themeColor="text1"/>
          <w:szCs w:val="20"/>
          <w:shd w:val="clear" w:color="auto" w:fill="ffffff"/>
        </w:rPr>
      </w:pPr>
      <w:r>
        <w:rPr>
          <w:color w:val="000000" w:themeColor="text1"/>
          <w:szCs w:val="20"/>
          <w:shd w:val="clear" w:color="auto" w:fill="ffffff"/>
        </w:rPr>
      </w:r>
      <w:r>
        <w:rPr>
          <w:color w:val="000000" w:themeColor="text1"/>
          <w:szCs w:val="20"/>
          <w:shd w:val="clear" w:color="auto" w:fill="ffffff"/>
        </w:rPr>
      </w:r>
    </w:p>
    <w:p>
      <w:pPr>
        <w:ind w:right="2" w:firstLine="0"/>
        <w:spacing w:line="256" w:lineRule="auto"/>
        <w:rPr>
          <w:b/>
        </w:rPr>
      </w:pPr>
      <w:r>
        <w:rPr>
          <w:b/>
        </w:rPr>
      </w:r>
      <w:r>
        <w:rPr>
          <w:b/>
        </w:rPr>
      </w:r>
    </w:p>
    <w:p>
      <w:pPr>
        <w:ind w:right="2" w:firstLine="0"/>
        <w:jc w:val="center"/>
        <w:spacing w:line="256" w:lineRule="auto"/>
        <w:rPr>
          <w:b/>
        </w:rPr>
      </w:pPr>
      <w:r>
        <w:rPr>
          <w:b/>
        </w:rPr>
      </w:r>
      <w:r>
        <w:rPr>
          <w:b/>
        </w:rPr>
      </w:r>
    </w:p>
    <w:p>
      <w:pPr>
        <w:ind w:right="2" w:firstLine="0"/>
        <w:jc w:val="center"/>
        <w:spacing w:line="256" w:lineRule="auto"/>
        <w:rPr>
          <w:b/>
        </w:rPr>
      </w:pPr>
      <w:r>
        <w:rPr>
          <w:b/>
        </w:rPr>
      </w:r>
      <w:r>
        <w:rPr>
          <w:b/>
        </w:rPr>
      </w:r>
    </w:p>
    <w:p>
      <w:pPr>
        <w:ind w:right="2" w:firstLine="0"/>
        <w:jc w:val="center"/>
        <w:spacing w:line="256" w:lineRule="auto"/>
        <w:rPr>
          <w:b/>
        </w:rPr>
      </w:pPr>
      <w:r>
        <w:rPr>
          <w:b/>
        </w:rPr>
      </w:r>
      <w:r>
        <w:rPr>
          <w:b/>
        </w:rPr>
      </w:r>
    </w:p>
    <w:p>
      <w:pPr>
        <w:ind w:right="2" w:firstLine="0"/>
        <w:jc w:val="center"/>
        <w:spacing w:line="256" w:lineRule="auto"/>
        <w:rPr>
          <w:b/>
        </w:rPr>
      </w:pPr>
      <w:r>
        <w:rPr>
          <w:b/>
        </w:rPr>
      </w:r>
      <w:r>
        <w:rPr>
          <w:b/>
        </w:rPr>
      </w:r>
    </w:p>
    <w:p>
      <w:pPr>
        <w:ind w:right="2" w:firstLine="0"/>
        <w:jc w:val="center"/>
        <w:spacing w:line="256" w:lineRule="auto"/>
        <w:rPr>
          <w:b/>
        </w:rPr>
      </w:pPr>
      <w:r>
        <w:rPr>
          <w:b/>
        </w:rPr>
      </w:r>
      <w:r>
        <w:rPr>
          <w:b/>
        </w:rPr>
      </w:r>
    </w:p>
    <w:p>
      <w:pPr>
        <w:ind w:right="2" w:firstLine="0"/>
        <w:jc w:val="center"/>
        <w:spacing w:line="256" w:lineRule="auto"/>
        <w:rPr>
          <w:b/>
        </w:rPr>
      </w:pPr>
      <w:r>
        <w:rPr>
          <w:b/>
        </w:rPr>
        <w:t xml:space="preserve">Москва, 202</w:t>
      </w:r>
      <w:r>
        <w:rPr>
          <w:b/>
        </w:rPr>
        <w:t xml:space="preserve">6</w:t>
      </w:r>
      <w:r>
        <w:rPr>
          <w:b/>
        </w:rPr>
        <w:br w:type="page" w:clear="all"/>
      </w:r>
      <w:r>
        <w:rPr>
          <w:b/>
        </w:rPr>
      </w:r>
    </w:p>
    <w:p>
      <w:pPr>
        <w:pStyle w:val="674"/>
      </w:pPr>
      <w:r>
        <w:t xml:space="preserve">Название проекта</w:t>
      </w:r>
      <w:r/>
    </w:p>
    <w:p>
      <w:r>
        <w:t xml:space="preserve">Полное название: «Сравнительный анализ классических и нейросетевых методов приёма акустических сигналов в реальных каналах с нелинейными искажениями».</w:t>
      </w:r>
    </w:p>
    <w:p>
      <w:r>
        <w:t xml:space="preserve">Сокращённое название: «Шорох».</w:t>
      </w:r>
    </w:p>
    <w:p>
      <w:pPr>
        <w:pStyle w:val="674"/>
      </w:pPr>
      <w:r>
        <w:t xml:space="preserve">Идея проекта</w:t>
      </w:r>
      <w:r/>
    </w:p>
    <w:p>
      <w:r>
        <w:t xml:space="preserve">Акустическая связь применяется там, где не работает радио: под водой (гидроакустические модемы подводных аппаратов, подлодок и донных датчиков), а также для передачи данных между устройствами по воздуху с помощью звука. Сигнал на пути от передатчика к приёмнику искажается: эхо от стен, дна и поверхности (многолучёвость), шум, нелинейности излучателя и усилителя. Задача приёмника — по искажённому звуку восстановить переданные биты.</w:t>
      </w:r>
    </w:p>
    <w:p>
      <w:r>
        <w:t xml:space="preserve">Классические алгоритмы приёма (согласованный фильтр, эквалайзер, OFDM) опираются на математическую модель канала: линейный канал плюс гауссов шум. Для такой модели они близки к оптимальным. Идея проекта — заменить блок приёма нейросетью (одномерной свёрточной), обучить её на данных настоящих акустических каналов и выяснить, где машинное обучение действительно лучше классических алгоритмов, а где нет.</w:t>
      </w:r>
    </w:p>
    <w:p>
      <w:r>
        <w:t xml:space="preserve">Рабочая гипотеза: нейросеть выигрывает там, где реальный канал отклоняется от предположений классической модели, в первую очередь при нелинейных искажениях. Гипотеза проверяется кривыми зависимости частоты битовых ошибок (BER) от отношения сигнал/шум для каналов с разной степенью искажений.</w:t>
      </w:r>
    </w:p>
    <w:p>
      <w:r>
        <w:t xml:space="preserve">Проект имеет и инженерную часть: физический стенд для измерения каналов (конденсаторный микрофон Behringer B-1, звуковая карта Arturia MiniFuse 2 с частотой 192 кГц, набор излучателей) и, на следующих этапах, собственная схема передачи данных звуком («азбука для машин»), оценка её эффективности относительно предела Шеннона, эксперименты с ультразвуком и демонстрационный стенд.</w:t>
      </w:r>
    </w:p>
    <w:p>
      <w:pPr>
        <w:pStyle w:val="674"/>
      </w:pPr>
      <w:r>
        <w:t xml:space="preserve">Описание работы проекта</w:t>
      </w:r>
      <w:r/>
    </w:p>
    <w:p>
      <w:r>
        <w:t xml:space="preserve">Проект — исследовательский конвейер: от измерения реального канала до сравнения приёмников. Всё написано на Python (numpy, scipy, PyTorch), этапы запускаются отдельными скриптами, результаты фиксируются в журнале экспериментов.</w:t>
      </w:r>
    </w:p>
    <w:p>
      <w:r>
        <w:t xml:space="preserve">Что может сделать пользователь проекта: измерить акустический канал любого излучателя одной командой и получить его «паспорт» (АЧХ, рабочая полоса, эхо, искажения); смоделировать передачу данных через этот канал разными схемами; обучить нейросетевой приёмник под конкретный канал и сравнить его с классическими; получить таблицы и графики для отчёта.</w:t>
      </w:r>
    </w:p>
    <w:p>
      <w:r>
        <w:rPr>
          <w:b/>
          <w:bCs/>
        </w:rPr>
        <w:t xml:space="preserve">1. Измерение реального канала. </w:t>
      </w:r>
      <w:r>
        <w:t xml:space="preserve">Через излучатель воспроизводится экспоненциальный свип (плавный рост частоты от 20 Гц до 86 кГц), микрофон записывает его с частотой 192 кГц. Деконволюция (метод Фарины) превращает запись в импульсную характеристику канала, из которой получают АЧХ, границу рабочей полосы, время реверберации RT60, долю запаздывающего эха и уровни гармонических искажений. Метод отделяет линейные искажения от нелинейных и устойчив к постороннему шуму.</w:t>
      </w:r>
    </w:p>
    <w:p>
      <w:r>
        <w:rPr>
          <w:b/>
          <w:bCs/>
        </w:rPr>
        <w:t xml:space="preserve">2. Набор измеренных каналов. </w:t>
      </w:r>
      <w:r>
        <w:t xml:space="preserve">Замерены наушники, динамики телевизора, гитарный усилитель Marshall MG15CF, колонка JBL и телефон. Гитара с процессором Mooer GTRS S801 использована как источник управляемых искажений: педали Tube Screamer (мягкое ограничение сигнала) и RAT (жёсткое) при разных положениях ручки, ревербераторы Room, Hall и Spring, задержка (Delay). Всего получено 21 канал: от почти линейных до сильно нелинейных, с эхом длительностью до 2,6 с. Проверено, что ультразвук проходит через наушники до 86 кГц, а динамики телевизора ограничены частотой 22,6 кГц.</w:t>
      </w:r>
    </w:p>
    <w:p>
      <w:r>
        <w:rPr>
          <w:b/>
          <w:bCs/>
        </w:rPr>
        <w:t xml:space="preserve">3. Симулятор канала. </w:t>
      </w:r>
      <w:r>
        <w:t xml:space="preserve">Реализованы модуляции BPSK, QPSK, FSK и OFDM; правильность проверена сравнением с теоретическими кривыми BER. Канал в симуляторе состоит из измеренной импульсной характеристики (эхо, реверберация), модели нелинейности Раппа, параметры которой подобраны по измеренным гармоникам педалей, и шума. Так опыты на реальных данных можно повторять сколько угодно раз.</w:t>
      </w:r>
    </w:p>
    <w:p>
      <w:r>
        <w:rPr>
          <w:b/>
          <w:bCs/>
        </w:rPr>
        <w:t xml:space="preserve">4. Классические приёмники (базовая линия). </w:t>
      </w:r>
      <w:r>
        <w:t xml:space="preserve">QPSK без эквалайзера, QPSK с MMSE-эквалайзером (фильтр на 129 отводов, обучается по известной последовательности) и OFDM с оценкой канала по пилотным символам. Они нужны для честного сравнения: нейросеть должна обыграть не заведомо слабый алгоритм, а хорошо настроенный.</w:t>
      </w:r>
    </w:p>
    <w:p>
      <w:r>
        <w:rPr>
          <w:b/>
          <w:bCs/>
        </w:rPr>
        <w:t xml:space="preserve">5. Нейросетевой приёмник. </w:t>
      </w:r>
      <w:r>
        <w:t xml:space="preserve">Одномерная свёрточная сеть на видеокарте получает окно принятого сигнала из 129 отсчётов и выдаёт биты символа. Параллельно свёрткам стоит линейный путь, поэтому всё, что сеть выигрывает у MMSE, даёт именно нелинейная часть. Данные создаёт симулятор: обучение идёт на постоянно обновляемых потоках сигнала с разным уровнем шума, это защищает от переобучения.</w:t>
      </w:r>
    </w:p>
    <w:p>
      <w:r>
        <w:rPr>
          <w:b/>
          <w:bCs/>
        </w:rPr>
        <w:t xml:space="preserve">6. Эксперименты и анализ. </w:t>
      </w:r>
      <w:r>
        <w:t xml:space="preserve">Строятся кривые BER для всех приёмников, серия по степени нелинейности (отношение сигнал/искажения от 26 до 13 дБ), сравнение на линейных и нелинейных каналах. Для каждого приёмника определяется, при каком отношении сигнал/шум достигается ошибка 1 бит на 1000; результаты оформляются таблицами и графиками.</w:t>
      </w:r>
    </w:p>
    <w:p>
      <w:r>
        <w:rPr>
          <w:b/>
          <w:bCs/>
        </w:rPr>
        <w:t xml:space="preserve">Предварительные результаты. </w:t>
      </w:r>
      <w:r>
        <w:t xml:space="preserve">Нейросеть выигрывает у лучшего линейного эквалайзера во всех проверенных сценариях, и выигрыш растёт с силой искажений: для ошибки 1 бит на 1000 ей нужно на 1,4 дБ меньше мощности сигнала на канале без искажений, на 2,7–2,9 дБ меньше при слабом перегрузе, на 4–5 дБ при сильном и на 8,4 дБ при самом жёстком ограничении сигнала педалью RAT. OFDM из-за высоких пиков сигнала страдает от искажений сильнее одиночной несущей: он отстаёт от нейросети на 3–9 дБ, а при самом жёстком ограничении вообще не достигает ошибки 1 на 1000. Если значимая часть эха длиннее окна приёмника (реверберация Spring), у всех приёмников остаётся пол ошибок: нейросеть снижает его почти вдвое, но не устраняет. Важный методический результат: при обучении на фиксированном наборе данных сеть переобучалась и показывала заниженные результаты; обновление данных в ходе обучения устранило проблему.</w:t>
      </w:r>
    </w:p>
    <w:p>
      <w:r>
        <w:rPr>
          <w:b/>
          <w:bCs/>
        </w:rPr>
        <w:t xml:space="preserve">Что предстоит. </w:t>
      </w:r>
      <w:r>
        <w:t xml:space="preserve">Сравнение с нелинейными классическими приёмниками (эквалайзер с обратной связью по решениям, оптимальный детектор последовательности); обучение на длинных хвостах эха (большее окно); проверка обобщения (обучили на одном канале — проверили на другом) и зависимости качества от объёма данных; передача настоящих сигналов через педали и колонки и проверка обученных моделей на живых записях; собственная схема передачи данных звуком с оценкой относительно предела Шеннона, в том числе на ультразвуке; демонстрационный стенд: передача текста между двумя компьютерами по воздуху с живой спектрограммой.</w:t>
      </w:r>
    </w:p>
    <w:p>
      <w:pPr>
        <w:pStyle w:val="674"/>
      </w:pPr>
      <w:r>
        <w:t xml:space="preserve">Актуальность</w:t>
      </w:r>
      <w:r/>
    </w:p>
    <w:p>
      <w:r>
        <w:t xml:space="preserve">Радиосвязь не работает под водой: радиоволны быстро затухают, поэтому подводные аппараты, донные датчики и подводные лодки используют гидроакустическую связь. Подводный канал — один из самых трудных: сильное эхо от дна и поверхности, движение аппаратов, шум, нелинейности аппаратуры. От качества приёма напрямую зависят дальность и скорость обмена данными.</w:t>
      </w:r>
    </w:p>
    <w:p>
      <w:r>
        <w:t xml:space="preserve">Нейросети на физическом уровне связи — активно развивающееся направление (например, работа Т. О'Ши и Дж. Хойдиса 2017 года «An Introduction to Deep Learning for the Physical Layer»), но не всегда ясно, где нейросеть действительно лучше классики. Проект отвечает на этот вопрос на измеримых данных и показывает границы применимости: на линейном канале выигрыша нет, на нелинейном он растёт с силой искажений.</w:t>
      </w:r>
    </w:p>
    <w:p>
      <w:r>
        <w:t xml:space="preserve">Результаты можно использовать при разработке приёмников для гидроакустических модемов; для акустической связи между устройствами по воздуху без радио (там, где радио запрещено или недоступно, для сопряжения устройств); при выборе между классическим алгоритмом и нейросетью (нейросети требуют больше вычислений, поэтому выигрыш должен быть оправдан). Методика тоже применима на практике: канал измеряется недорогим оборудованием, по нему строится симулятор, на симуляторе обучаются модели — без дорогих морских испытаний.</w:t>
      </w:r>
    </w:p>
    <w:p>
      <w:r>
        <w:t xml:space="preserve">Для дисциплины «Прикладной анализ данных» проект даёт полный цикл работы с данными: сбор собственного набора данных (21 измеренный канал), разведочный анализ (АЧХ, статистика шума, эхо), выбор признаков и моделей, сравнение методов по метрике BER и проверку обобщения на новые условия.</w:t>
      </w:r>
    </w:p>
    <w:p>
      <w:r/>
      <w:r/>
    </w:p>
    <w:sectPr>
      <w:footerReference w:type="default" r:id="rId8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30668411"/>
      <w:docPartObj>
        <w:docPartGallery w:val="Page Numbers (Bottom of Page)"/>
        <w:docPartUnique w:val="true"/>
      </w:docPartObj>
      <w:rPr/>
    </w:sdtPr>
    <w:sdtContent>
      <w:p>
        <w:pPr>
          <w:pStyle w:val="68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75"/>
    <w:link w:val="674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73"/>
    <w:next w:val="673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75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73"/>
    <w:next w:val="673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75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73"/>
    <w:next w:val="67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75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73"/>
    <w:next w:val="67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75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73"/>
    <w:next w:val="67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75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73"/>
    <w:next w:val="67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75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73"/>
    <w:next w:val="67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75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73"/>
    <w:next w:val="67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75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73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73"/>
    <w:next w:val="673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75"/>
    <w:link w:val="34"/>
    <w:uiPriority w:val="10"/>
    <w:rPr>
      <w:sz w:val="48"/>
      <w:szCs w:val="48"/>
    </w:rPr>
  </w:style>
  <w:style w:type="paragraph" w:styleId="36">
    <w:name w:val="Subtitle"/>
    <w:basedOn w:val="673"/>
    <w:next w:val="67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75"/>
    <w:link w:val="36"/>
    <w:uiPriority w:val="11"/>
    <w:rPr>
      <w:sz w:val="24"/>
      <w:szCs w:val="24"/>
    </w:rPr>
  </w:style>
  <w:style w:type="paragraph" w:styleId="38">
    <w:name w:val="Quote"/>
    <w:basedOn w:val="673"/>
    <w:next w:val="67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73"/>
    <w:next w:val="67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75"/>
    <w:link w:val="679"/>
    <w:uiPriority w:val="99"/>
  </w:style>
  <w:style w:type="character" w:styleId="45">
    <w:name w:val="Footer Char"/>
    <w:basedOn w:val="675"/>
    <w:link w:val="681"/>
    <w:uiPriority w:val="99"/>
  </w:style>
  <w:style w:type="paragraph" w:styleId="46">
    <w:name w:val="Caption"/>
    <w:basedOn w:val="673"/>
    <w:next w:val="67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681"/>
    <w:uiPriority w:val="99"/>
  </w:style>
  <w:style w:type="table" w:styleId="48">
    <w:name w:val="Table Grid"/>
    <w:basedOn w:val="67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7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7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7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7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7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7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75"/>
    <w:uiPriority w:val="99"/>
    <w:unhideWhenUsed/>
    <w:rPr>
      <w:vertAlign w:val="superscript"/>
    </w:rPr>
  </w:style>
  <w:style w:type="paragraph" w:styleId="178">
    <w:name w:val="endnote text"/>
    <w:basedOn w:val="67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75"/>
    <w:uiPriority w:val="99"/>
    <w:semiHidden/>
    <w:unhideWhenUsed/>
    <w:rPr>
      <w:vertAlign w:val="superscript"/>
    </w:rPr>
  </w:style>
  <w:style w:type="paragraph" w:styleId="181">
    <w:name w:val="toc 1"/>
    <w:basedOn w:val="673"/>
    <w:next w:val="67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73"/>
    <w:next w:val="67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73"/>
    <w:next w:val="67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73"/>
    <w:next w:val="67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73"/>
    <w:next w:val="67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73"/>
    <w:next w:val="67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73"/>
    <w:next w:val="67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73"/>
    <w:next w:val="67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73"/>
    <w:next w:val="67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73"/>
    <w:next w:val="673"/>
    <w:uiPriority w:val="99"/>
    <w:unhideWhenUsed/>
    <w:pPr>
      <w:spacing w:after="0" w:afterAutospacing="0"/>
    </w:pPr>
  </w:style>
  <w:style w:type="paragraph" w:styleId="673" w:default="1">
    <w:name w:val="Normal"/>
    <w:qFormat/>
    <w:pPr>
      <w:ind w:firstLine="709"/>
      <w:jc w:val="both"/>
      <w:spacing w:after="0" w:line="360" w:lineRule="auto"/>
    </w:pPr>
    <w:rPr>
      <w:rFonts w:ascii="Times New Roman" w:hAnsi="Times New Roman"/>
      <w:sz w:val="28"/>
    </w:rPr>
  </w:style>
  <w:style w:type="paragraph" w:styleId="674">
    <w:name w:val="Heading 1"/>
    <w:basedOn w:val="673"/>
    <w:next w:val="673"/>
    <w:link w:val="678"/>
    <w:uiPriority w:val="9"/>
    <w:qFormat/>
    <w:pPr>
      <w:ind w:firstLine="0"/>
      <w:widowControl w:val="off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styleId="675" w:default="1">
    <w:name w:val="Default Paragraph Font"/>
    <w:uiPriority w:val="1"/>
    <w:semiHidden/>
    <w:unhideWhenUsed/>
  </w:style>
  <w:style w:type="table" w:styleId="67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77" w:default="1">
    <w:name w:val="No List"/>
    <w:uiPriority w:val="99"/>
    <w:semiHidden/>
    <w:unhideWhenUsed/>
  </w:style>
  <w:style w:type="character" w:styleId="678" w:customStyle="1">
    <w:name w:val="Заголовок 1 Знак"/>
    <w:basedOn w:val="675"/>
    <w:link w:val="674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paragraph" w:styleId="679">
    <w:name w:val="Header"/>
    <w:basedOn w:val="673"/>
    <w:link w:val="680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680" w:customStyle="1">
    <w:name w:val="Верхний колонтитул Знак"/>
    <w:basedOn w:val="675"/>
    <w:link w:val="679"/>
    <w:uiPriority w:val="99"/>
    <w:rPr>
      <w:rFonts w:ascii="Times New Roman" w:hAnsi="Times New Roman"/>
      <w:sz w:val="28"/>
    </w:rPr>
  </w:style>
  <w:style w:type="paragraph" w:styleId="681">
    <w:name w:val="Footer"/>
    <w:basedOn w:val="673"/>
    <w:link w:val="682"/>
    <w:uiPriority w:val="99"/>
    <w:unhideWhenUsed/>
    <w:pPr>
      <w:spacing w:line="240" w:lineRule="auto"/>
      <w:tabs>
        <w:tab w:val="center" w:pos="4677" w:leader="none"/>
        <w:tab w:val="right" w:pos="9355" w:leader="none"/>
      </w:tabs>
    </w:pPr>
  </w:style>
  <w:style w:type="character" w:styleId="682" w:customStyle="1">
    <w:name w:val="Нижний колонтитул Знак"/>
    <w:basedOn w:val="675"/>
    <w:link w:val="681"/>
    <w:uiPriority w:val="99"/>
    <w:rPr>
      <w:rFonts w:ascii="Times New Roman" w:hAnsi="Times New Roman"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D7957-0752-454B-AFE3-1F7A69A8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борисов</dc:creator>
  <cp:keywords/>
  <dc:description/>
  <cp:lastModifiedBy>Аноним</cp:lastModifiedBy>
  <cp:revision>28</cp:revision>
  <dcterms:created xsi:type="dcterms:W3CDTF">2023-09-30T11:11:00Z</dcterms:created>
  <dcterms:modified xsi:type="dcterms:W3CDTF">2026-09-24T16:23:18Z</dcterms:modified>
</cp:coreProperties>
</file>