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86C1"/>
          <w:sz w:val="18"/>
          <w:szCs w:val="18"/>
        </w:rPr>
        <w:t xml:space="preserve">ANALYSE DOCTRINALE &amp; SCIENTIFIQUE</w:t>
      </w:r>
    </w:p>
    <w:p>
      <w:pPr>
        <w:spacing w:after="60" w:before="100"/>
        <w:jc w:val="center"/>
      </w:pPr>
      <w:r>
        <w:rPr>
          <w:rFonts w:ascii="Georgia" w:cs="Georgia" w:eastAsia="Georgia" w:hAnsi="Georgia"/>
          <w:b/>
          <w:bCs/>
          <w:color w:val="1A5276"/>
          <w:sz w:val="48"/>
          <w:szCs w:val="48"/>
        </w:rPr>
        <w:t xml:space="preserve">La Théorie de l’Évolution</w:t>
      </w:r>
    </w:p>
    <w:p>
      <w:pPr>
        <w:spacing w:after="60" w:before="0"/>
        <w:jc w:val="center"/>
      </w:pPr>
      <w:r>
        <w:rPr>
          <w:rFonts w:ascii="Georgia" w:cs="Georgia" w:eastAsia="Georgia" w:hAnsi="Georgia"/>
          <w:i/>
          <w:iCs/>
          <w:color w:val="2E86C1"/>
          <w:sz w:val="32"/>
          <w:szCs w:val="32"/>
        </w:rPr>
        <w:t xml:space="preserve">à la lumière de la Science et de l’Islam</w:t>
      </w:r>
    </w:p>
    <w:p>
      <w:pPr>
        <w:pBdr>
          <w:bottom w:val="single" w:color="1A5276" w:sz="6"/>
        </w:pBdr>
        <w:spacing w:after="60" w:before="0"/>
        <w:jc w:val="center"/>
      </w:pPr>
      <w:r>
        <w:rPr>
          <w:rFonts w:ascii="Arial" w:cs="Arial" w:eastAsia="Arial" w:hAnsi="Arial"/>
          <w:i/>
          <w:iCs/>
          <w:color w:val="555555"/>
          <w:sz w:val="20"/>
          <w:szCs w:val="20"/>
        </w:rPr>
        <w:t xml:space="preserve">Entretien avec le Dr Hicham Azmi — Consultant en anesthésie &amp; Chef du département d’étude de l’athéisme, Centre Al-Fath</w:t>
      </w:r>
    </w:p>
    <w:p>
      <w:pPr>
        <w:spacing w:after="0" w:before="180"/>
      </w:pPr>
    </w:p>
    <w:p>
      <w:pPr>
        <w:spacing w:after="260" w:before="180"/>
        <w:jc w:val="both"/>
      </w:pPr>
      <w:r>
        <w:rPr>
          <w:rFonts w:ascii="Georgia" w:cs="Georgia" w:eastAsia="Georgia" w:hAnsi="Georgia"/>
          <w:i/>
          <w:iCs/>
          <w:color w:val="1A5276"/>
          <w:sz w:val="26"/>
          <w:szCs w:val="26"/>
        </w:rPr>
        <w:t xml:space="preserve">Dans un contexte où la théorie darwinienne de l’évolution est enseignée dans les universités comme une vérité absolue, quels sont les véritables fondements scientifiques de cette théorie ? Quelles sont ses limites épistémologiques ? Et en quoi s’oppose-t-elle aux fondements de la foi islamique ? Le Dr Hicham Azmi apporte des réponses claires, rigoureuses et documentées.</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I. La théorie darwinienne : définition et mécanismes</w:t>
      </w:r>
    </w:p>
    <w:p>
      <w:pPr>
        <w:spacing w:after="100" w:before="100" w:line="340"/>
        <w:jc w:val="both"/>
      </w:pPr>
      <w:r>
        <w:rPr>
          <w:rFonts w:ascii="Georgia" w:cs="Georgia" w:eastAsia="Georgia" w:hAnsi="Georgia"/>
          <w:sz w:val="24"/>
          <w:szCs w:val="24"/>
        </w:rPr>
        <w:t xml:space="preserve">Il y a plus de 150 ans, Charles Darwin proposait une théorie reposant sur trois piliers fondamentaux. Le premier est la surproduction de la descendance : les organismes vivants produisent une progéniture largement supérieure à ce que l’environnement peut supporter — Darwin citait l’exemple de l’huître, capable de pondre cent millions d’œufs par saison. Le deuxième est la lutte pour la survie : cette abondance engendre une compétition interne à l’espèce, inter-espèces et avec l’environnement. Le troisième — et c’est l’essence même de la théorie — est la sélection naturelle : seuls les individus les mieux adaptés survivent et transmettent leurs caractères.</w:t>
      </w:r>
    </w:p>
    <w:p>
      <w:pPr>
        <w:spacing w:after="100" w:before="100" w:line="340"/>
        <w:jc w:val="both"/>
      </w:pPr>
      <w:r>
        <w:rPr>
          <w:rFonts w:ascii="Georgia" w:cs="Georgia" w:eastAsia="Georgia" w:hAnsi="Georgia"/>
          <w:sz w:val="24"/>
          <w:szCs w:val="24"/>
        </w:rPr>
        <w:t xml:space="preserve">La néo-darwinisme, développée entre les années 1940 et 1960 par Fisher, Mayr et d’autres, a reformulé ce cadre à la lumière de la génétique. Selon cette synthèse, les changements évolutifs sont produits par des mutations aléatoires dans les gènes, s’accumulant de génération en génération jusqu’à faire émerger une nouvelle espèce.</w:t>
      </w:r>
    </w:p>
    <w:p>
      <w:pPr>
        <w:spacing w:after="40" w:before="160"/>
      </w:pPr>
    </w:p>
    <w:p>
      <w:pPr>
        <w:spacing w:after="80" w:before="240"/>
      </w:pPr>
      <w:r>
        <w:rPr>
          <w:rFonts w:ascii="Arial" w:cs="Arial" w:eastAsia="Arial" w:hAnsi="Arial"/>
          <w:b/>
          <w:bCs/>
          <w:color w:val="1A5276"/>
          <w:sz w:val="20"/>
          <w:szCs w:val="20"/>
        </w:rPr>
        <w:t xml:space="preserve">POINTS CLÉS</w:t>
      </w:r>
    </w:p>
    <w:p>
      <w:pPr>
        <w:spacing w:after="60" w:before="60"/>
        <w:ind w:left="360"/>
        <w:jc w:val="both"/>
      </w:pPr>
      <w:r>
        <w:rPr>
          <w:rFonts w:ascii="Arial" w:cs="Arial" w:eastAsia="Arial" w:hAnsi="Arial"/>
          <w:b/>
          <w:bCs/>
          <w:color w:val="1A5276"/>
          <w:sz w:val="22"/>
          <w:szCs w:val="22"/>
        </w:rPr>
        <w:t xml:space="preserve">▸  </w:t>
      </w:r>
      <w:r>
        <w:rPr>
          <w:rFonts w:ascii="Georgia" w:cs="Georgia" w:eastAsia="Georgia" w:hAnsi="Georgia"/>
          <w:sz w:val="22"/>
          <w:szCs w:val="22"/>
        </w:rPr>
        <w:t xml:space="preserve">Surproduction de la descendance — plus de naissances que l’environnement ne peut en supporter</w:t>
      </w:r>
    </w:p>
    <w:p>
      <w:pPr>
        <w:spacing w:after="60" w:before="60"/>
        <w:ind w:left="360"/>
        <w:jc w:val="both"/>
      </w:pPr>
      <w:r>
        <w:rPr>
          <w:rFonts w:ascii="Arial" w:cs="Arial" w:eastAsia="Arial" w:hAnsi="Arial"/>
          <w:b/>
          <w:bCs/>
          <w:color w:val="1A5276"/>
          <w:sz w:val="22"/>
          <w:szCs w:val="22"/>
        </w:rPr>
        <w:t xml:space="preserve">▸  </w:t>
      </w:r>
      <w:r>
        <w:rPr>
          <w:rFonts w:ascii="Georgia" w:cs="Georgia" w:eastAsia="Georgia" w:hAnsi="Georgia"/>
          <w:sz w:val="22"/>
          <w:szCs w:val="22"/>
        </w:rPr>
        <w:t xml:space="preserve">Lutte pour la survie — compétition intra- et inter-spécifique, et avec l’environnement</w:t>
      </w:r>
    </w:p>
    <w:p>
      <w:pPr>
        <w:spacing w:after="60" w:before="60"/>
        <w:ind w:left="360"/>
        <w:jc w:val="both"/>
      </w:pPr>
      <w:r>
        <w:rPr>
          <w:rFonts w:ascii="Arial" w:cs="Arial" w:eastAsia="Arial" w:hAnsi="Arial"/>
          <w:b/>
          <w:bCs/>
          <w:color w:val="1A5276"/>
          <w:sz w:val="22"/>
          <w:szCs w:val="22"/>
        </w:rPr>
        <w:t xml:space="preserve">▸  </w:t>
      </w:r>
      <w:r>
        <w:rPr>
          <w:rFonts w:ascii="Georgia" w:cs="Georgia" w:eastAsia="Georgia" w:hAnsi="Georgia"/>
          <w:sz w:val="22"/>
          <w:szCs w:val="22"/>
        </w:rPr>
        <w:t xml:space="preserve">Sélection naturelle — seuls les plus aptes se reproduisent et transmettent leurs caractères</w:t>
      </w:r>
    </w:p>
    <w:p>
      <w:pPr>
        <w:spacing w:after="60" w:before="60"/>
        <w:ind w:left="360"/>
        <w:jc w:val="both"/>
      </w:pPr>
      <w:r>
        <w:rPr>
          <w:rFonts w:ascii="Arial" w:cs="Arial" w:eastAsia="Arial" w:hAnsi="Arial"/>
          <w:b/>
          <w:bCs/>
          <w:color w:val="1A5276"/>
          <w:sz w:val="22"/>
          <w:szCs w:val="22"/>
        </w:rPr>
        <w:t xml:space="preserve">▸  </w:t>
      </w:r>
      <w:r>
        <w:rPr>
          <w:rFonts w:ascii="Georgia" w:cs="Georgia" w:eastAsia="Georgia" w:hAnsi="Georgia"/>
          <w:sz w:val="22"/>
          <w:szCs w:val="22"/>
        </w:rPr>
        <w:t xml:space="preserve">Néo-darwinisme — les mutations génétiques aléatoires comme moteur des changements</w:t>
      </w:r>
    </w:p>
    <w:p>
      <w:pPr>
        <w:spacing w:after="160" w:before="40"/>
      </w:pP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II. Microévolution et macroévolution : une distinction fondamentale</w:t>
      </w:r>
    </w:p>
    <w:p>
      <w:pPr>
        <w:spacing w:after="100" w:before="100" w:line="340"/>
        <w:jc w:val="both"/>
      </w:pPr>
      <w:r>
        <w:rPr>
          <w:rFonts w:ascii="Georgia" w:cs="Georgia" w:eastAsia="Georgia" w:hAnsi="Georgia"/>
          <w:sz w:val="24"/>
          <w:szCs w:val="24"/>
        </w:rPr>
        <w:t xml:space="preserve">Pour comprendre le débat, il est indispensable de distinguer deux notions que l’on confond souvent à dessein.</w:t>
      </w:r>
    </w:p>
    <w:p>
      <w:pPr>
        <w:spacing w:after="100" w:before="100" w:line="340"/>
        <w:jc w:val="both"/>
      </w:pPr>
      <w:r>
        <w:rPr>
          <w:rFonts w:ascii="Georgia" w:cs="Georgia" w:eastAsia="Georgia" w:hAnsi="Georgia"/>
          <w:sz w:val="24"/>
          <w:szCs w:val="24"/>
        </w:rPr>
        <w:t xml:space="preserve">La microévolution désigne les variations qui surviennent à l’intérieur d’une même espèce, sans modifier la structure de l’acide nucléique (ADN). Elle produit de nouvelles lignées, de nouvelles races — comme les différentes races canines : chihuahua, grand danois, sloughi — mais l’espèce reste identique. Ces variations restent confinées dans le pool génétique propre à l’espèce. La microévolution est observable, mesurable, reproductible en laboratoire. Elle ne pose aucun problème d’ordre scientifique, religieux ou rationnel.</w:t>
      </w:r>
    </w:p>
    <w:p>
      <w:pPr>
        <w:spacing w:after="100" w:before="100" w:line="340"/>
        <w:jc w:val="both"/>
      </w:pPr>
      <w:r>
        <w:rPr>
          <w:rFonts w:ascii="Georgia" w:cs="Georgia" w:eastAsia="Georgia" w:hAnsi="Georgia"/>
          <w:sz w:val="24"/>
          <w:szCs w:val="24"/>
        </w:rPr>
        <w:t xml:space="preserve">La macroévolution, en revanche, est le cœur prétentieux du darwinisme : l’émergence d’une espèce entièrement nouvelle à partir d’une espèce ancestrale. Or ce processus n’a jamais été observé. On ne dispose d’aucun article scientifique décrivant, étape par étape, le mécanisme précis permettant à la microévolution de produire une macroévolution. La distinction est qualitative, non simplement quantitative.</w:t>
      </w:r>
    </w:p>
    <w:p>
      <w:pPr>
        <w:pBdr>
          <w:bottom w:val="single" w:color="AED6F1" w:sz="2"/>
        </w:pBdr>
        <w:spacing w:after="200" w:before="200"/>
        <w:ind w:left="720" w:right="360"/>
        <w:jc w:val="both"/>
      </w:pPr>
      <w:r>
        <w:rPr>
          <w:rFonts w:ascii="Georgia" w:cs="Georgia" w:eastAsia="Georgia" w:hAnsi="Georgia"/>
          <w:i/>
          <w:iCs/>
          <w:color w:val="1A5276"/>
          <w:sz w:val="22"/>
          <w:szCs w:val="22"/>
        </w:rPr>
        <w:t xml:space="preserve">« Entre chaque espèce vivante et une autre, il existe un gouffre infranchissable. »</w:t>
      </w:r>
      <w:r>
        <w:rPr>
          <w:rFonts w:ascii="Arial" w:cs="Arial" w:eastAsia="Arial" w:hAnsi="Arial"/>
          <w:b/>
          <w:bCs/>
          <w:color w:val="555555"/>
          <w:sz w:val="20"/>
          <w:szCs w:val="20"/>
        </w:rPr>
        <w:t xml:space="preserve">  — Michael Denton, L’évolution : une théorie en crise</w:t>
      </w:r>
    </w:p>
    <w:p>
      <w:pPr>
        <w:spacing w:after="100" w:before="100" w:line="340"/>
        <w:jc w:val="both"/>
      </w:pPr>
      <w:r>
        <w:rPr>
          <w:rFonts w:ascii="Georgia" w:cs="Georgia" w:eastAsia="Georgia" w:hAnsi="Georgia"/>
          <w:sz w:val="24"/>
          <w:szCs w:val="24"/>
        </w:rPr>
        <w:t xml:space="preserve">L’analogie proposée par le Dr Azmi est parlante : avec de la farine, des œufs, du sucre et de l’huile, on peut faire un gâteau ou une tarte — mais jamais un chawarma. Les ingrédients présents permettent certaines combinaisons et en excluent d’autres. Il en va de même du pool génétique d’une espèce.</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III. La structure de l’ADN et la notion d’espèce</w:t>
      </w:r>
    </w:p>
    <w:p>
      <w:pPr>
        <w:spacing w:after="100" w:before="100" w:line="340"/>
        <w:jc w:val="both"/>
      </w:pPr>
      <w:r>
        <w:rPr>
          <w:rFonts w:ascii="Georgia" w:cs="Georgia" w:eastAsia="Georgia" w:hAnsi="Georgia"/>
          <w:sz w:val="24"/>
          <w:szCs w:val="24"/>
        </w:rPr>
        <w:t xml:space="preserve">Chaque espèce vivante est caractérisée par une structure unique de l’ADN — c’est-à-dire un agencement spécifique des gènes sur les chromosomes. Ce n’est pas tant le contenu des gènes qui définit l’espèce que l’architecture de leur disposition, comparable au plan d’une maison : l’emplacement du salon, de la chambre, de la cuisine. La fleur d’orchidée, le lion, la poule, la bactérie Salmonella — chaque organisme possède une structure architecturale propre et irréductible.</w:t>
      </w:r>
    </w:p>
    <w:p>
      <w:pPr>
        <w:spacing w:after="100" w:before="100" w:line="340"/>
        <w:jc w:val="both"/>
      </w:pPr>
      <w:r>
        <w:rPr>
          <w:rFonts w:ascii="Georgia" w:cs="Georgia" w:eastAsia="Georgia" w:hAnsi="Georgia"/>
          <w:sz w:val="24"/>
          <w:szCs w:val="24"/>
        </w:rPr>
        <w:t xml:space="preserve">Une espèce, au sens biologique, regroupe l’ensemble des êtres vivants partageant la même structure d’acide nucléique. Ceux-ci peuvent se reproduire entre eux et donner une descendance fertile. Ce critère est cependant complexe à appliquer : les biologistes ont multiplié les classifications selon des critères morphologiques, séparant artificiellement des groupes qui appartiennent en réalité à la même espèce — comme les crevettes de part et d’autre de l’isthme de Panama (30 espèces officielles pour ce qui est en réalité 15 paires identiques) ou les loups et les chiens, biologiquement compatibles malgré leur séparation sociale et comportementale.</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IV. La ressemblance biologique : ancêtre commun ou Créateur unique ?</w:t>
      </w:r>
    </w:p>
    <w:p>
      <w:pPr>
        <w:spacing w:after="100" w:before="100" w:line="340"/>
        <w:jc w:val="both"/>
      </w:pPr>
      <w:r>
        <w:rPr>
          <w:rFonts w:ascii="Georgia" w:cs="Georgia" w:eastAsia="Georgia" w:hAnsi="Georgia"/>
          <w:sz w:val="24"/>
          <w:szCs w:val="24"/>
        </w:rPr>
        <w:t xml:space="preserve">L’un des arguments phares des darwiniens est la similitude frappante entre les espèces : morphologie, protéines, voies enzymatiques, structure de l’ADN. Tous les êtres vivants partagent les mêmes bases azotées (C, G, A, T). Cette ressemblance, selon les évolutionnistes, prouverait un ancêtre commun.</w:t>
      </w:r>
    </w:p>
    <w:p>
      <w:pPr>
        <w:spacing w:after="100" w:before="100" w:line="340"/>
        <w:jc w:val="both"/>
      </w:pPr>
      <w:r>
        <w:rPr>
          <w:rFonts w:ascii="Georgia" w:cs="Georgia" w:eastAsia="Georgia" w:hAnsi="Georgia"/>
          <w:sz w:val="24"/>
          <w:szCs w:val="24"/>
        </w:rPr>
        <w:t xml:space="preserve">Mais cette déduction n’est logiquement valide que sous une seule condition : l’inexistence d’un Créateur. La similitude entre les créatures peut tout aussi bien — et plus logiquement — s’expliquer par l’unicité du Créateur. De même que deux livres révélés au même auteur partagent un style et des thèmes communs sans que l’un soit copié sur l’autre, les êtres vivants portent les marques d’un Créateur unique dont la sagesse a établi des substances communes pour que la pyramide alimentaire fonctionne de manière cohérente.</w:t>
      </w:r>
    </w:p>
    <w:p>
      <w:pPr>
        <w:pBdr>
          <w:bottom w:val="single" w:color="AED6F1" w:sz="2"/>
        </w:pBdr>
        <w:spacing w:after="200" w:before="200"/>
        <w:ind w:left="720" w:right="360"/>
        <w:jc w:val="both"/>
      </w:pPr>
      <w:r>
        <w:rPr>
          <w:rFonts w:ascii="Georgia" w:cs="Georgia" w:eastAsia="Georgia" w:hAnsi="Georgia"/>
          <w:i/>
          <w:iCs/>
          <w:color w:val="1A5276"/>
          <w:sz w:val="22"/>
          <w:szCs w:val="22"/>
        </w:rPr>
        <w:t xml:space="preserve">« La similitude est une preuve de la nécessité soit d’un Créateur unique, soit d’un ancêtre commun. Or ce groupe nie catégoriquement l’existence du Créateur — et c’est précisément là que réside le présupposé philosophique. »</w:t>
      </w:r>
      <w:r>
        <w:rPr>
          <w:rFonts w:ascii="Arial" w:cs="Arial" w:eastAsia="Arial" w:hAnsi="Arial"/>
          <w:b/>
          <w:bCs/>
          <w:color w:val="555555"/>
          <w:sz w:val="20"/>
          <w:szCs w:val="20"/>
        </w:rPr>
        <w:t xml:space="preserve">  — Dr Hicham Azmi</w:t>
      </w:r>
    </w:p>
    <w:p>
      <w:pPr>
        <w:spacing w:after="100" w:before="100" w:line="340"/>
        <w:jc w:val="both"/>
      </w:pPr>
      <w:r>
        <w:rPr>
          <w:rFonts w:ascii="Georgia" w:cs="Georgia" w:eastAsia="Georgia" w:hAnsi="Georgia"/>
          <w:sz w:val="24"/>
          <w:szCs w:val="24"/>
        </w:rPr>
        <w:t xml:space="preserve">Un contre-argument décisif est fourni par le cas des placentaires et des marsupiaux. Le loup gris (placentaire) et le loup de Tasmanie (marsupial) sont morphologiquement quasi identiques ; pourtant, la théorie de l’évolution elle-même reconnaît qu’ils n’ont aucun ancêtre commun récent. L’écureuil placentaire est génétiquement plus proche de l’éléphant et de la baleine que de l’écureuil marsupial. Si la ressemblance morphologique prouve la filiation dans un cas, pourquoi pas dans l’autre ? L’incohérence méthodologique est flagrante.</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V. Les preuves avancées et leurs limites</w:t>
      </w:r>
    </w:p>
    <w:p>
      <w:pPr>
        <w:spacing w:after="100" w:before="100" w:line="340"/>
        <w:jc w:val="both"/>
      </w:pPr>
      <w:r>
        <w:rPr>
          <w:rFonts w:ascii="Georgia" w:cs="Georgia" w:eastAsia="Georgia" w:hAnsi="Georgia"/>
          <w:sz w:val="24"/>
          <w:szCs w:val="24"/>
        </w:rPr>
        <w:t xml:space="preserve">Les partisans de la théorie avancent plusieurs types de preuves — toutes du même genre, qu’il s’agisse de l’origine de l’homme ou de celle des reptiles, des oiseaux ou des insectes.</w:t>
      </w:r>
    </w:p>
    <w:p>
      <w:pPr>
        <w:spacing w:after="100" w:before="100" w:line="340"/>
        <w:jc w:val="both"/>
      </w:pPr>
      <w:r>
        <w:rPr>
          <w:rFonts w:ascii="Georgia" w:cs="Georgia" w:eastAsia="Georgia" w:hAnsi="Georgia"/>
          <w:sz w:val="24"/>
          <w:szCs w:val="24"/>
        </w:rPr>
        <w:t xml:space="preserve">Sur la question du lien homme-singe, la revue scientifique Genetics a calculé que combler les 60 millions de différences génétiques entre l’homme et le singe, à raison de 2 mutations bénéfiques par génération, nécessiterait plus de 100 millions d’années par différence — soit un délai astronomiquement supérieur à l’âge de l’univers. Par ailleurs, Bernard Wood, l’un des plus grands spécialistes mondiaux de l’origine de l’homme, a lui-même déclaré qu’il n’existe aucun fossile scientifiquement reconnu comme chaînon intermédiaire entre l’homme et le singe.</w:t>
      </w:r>
    </w:p>
    <w:p>
      <w:pPr>
        <w:spacing w:after="100" w:before="100" w:line="340"/>
        <w:jc w:val="both"/>
      </w:pPr>
      <w:r>
        <w:rPr>
          <w:rFonts w:ascii="Georgia" w:cs="Georgia" w:eastAsia="Georgia" w:hAnsi="Georgia"/>
          <w:sz w:val="24"/>
          <w:szCs w:val="24"/>
        </w:rPr>
        <w:t xml:space="preserve">L’exemple du Pakicetus — présenté comme ancêtre de la baleine en raison d’un petit os d’oreille appelé involucrum, surnommé « l’os sacré » du darwinisme — illustre la dérive de la vulgarisation scientifique. Deux faits ont été occultés : premièrement, le Pakicetus ne peut pas entendre sous l’eau ; deuxièmement, cet os se retrouve également chez l’Indohyus, un animal ressemblant à une chèvre. Un seul os ne justifie pas un saut évolutif vers un mammifère marin.</w:t>
      </w:r>
    </w:p>
    <w:p>
      <w:pPr>
        <w:spacing w:after="100" w:before="100" w:line="340"/>
        <w:jc w:val="both"/>
      </w:pPr>
      <w:r>
        <w:rPr>
          <w:rFonts w:ascii="Georgia" w:cs="Georgia" w:eastAsia="Georgia" w:hAnsi="Georgia"/>
          <w:sz w:val="24"/>
          <w:szCs w:val="24"/>
        </w:rPr>
        <w:t xml:space="preserve">La revue Nature a publié en janvier 2022 une étude majeure concluant que les mutations ne sont pas aléatoires comme le postulait la théorie, appelant à une révolution dans le paradigme évolutionniste.</w:t>
      </w:r>
    </w:p>
    <w:p>
      <w:pPr>
        <w:pBdr>
          <w:bottom w:val="single" w:color="AED6F1" w:sz="2"/>
        </w:pBdr>
        <w:spacing w:after="200" w:before="200"/>
        <w:ind w:left="720" w:right="360"/>
        <w:jc w:val="both"/>
      </w:pPr>
      <w:r>
        <w:rPr>
          <w:rFonts w:ascii="Georgia" w:cs="Georgia" w:eastAsia="Georgia" w:hAnsi="Georgia"/>
          <w:i/>
          <w:iCs/>
          <w:color w:val="1A5276"/>
          <w:sz w:val="22"/>
          <w:szCs w:val="22"/>
        </w:rPr>
        <w:t xml:space="preserve">« La théorie de l’évolution est une tautologie — elle est métaphysique, non scientifique. »</w:t>
      </w:r>
      <w:r>
        <w:rPr>
          <w:rFonts w:ascii="Arial" w:cs="Arial" w:eastAsia="Arial" w:hAnsi="Arial"/>
          <w:b/>
          <w:bCs/>
          <w:color w:val="555555"/>
          <w:sz w:val="20"/>
          <w:szCs w:val="20"/>
        </w:rPr>
        <w:t xml:space="preserve">  — Karl Popper, philosophe des sciences</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VI. Pourquoi le concordisme est une impasse</w:t>
      </w:r>
    </w:p>
    <w:p>
      <w:pPr>
        <w:spacing w:after="100" w:before="100" w:line="340"/>
        <w:jc w:val="both"/>
      </w:pPr>
      <w:r>
        <w:rPr>
          <w:rFonts w:ascii="Georgia" w:cs="Georgia" w:eastAsia="Georgia" w:hAnsi="Georgia"/>
          <w:sz w:val="24"/>
          <w:szCs w:val="24"/>
        </w:rPr>
        <w:t xml:space="preserve">Face aux assauts de la pensée matérialiste, certains musulmans ont cherché un compromis : accepter la macroévolution pour les autres espèces tout en préservant l’exceptionnalisme de la création d’Adam (que la paix soit sur lui). Le Dr Azmi démontre pourquoi cette position est insoutenable.</w:t>
      </w:r>
    </w:p>
    <w:p>
      <w:pPr>
        <w:spacing w:after="100" w:before="100" w:line="340"/>
        <w:jc w:val="both"/>
      </w:pPr>
      <w:r>
        <w:rPr>
          <w:rFonts w:ascii="Georgia" w:cs="Georgia" w:eastAsia="Georgia" w:hAnsi="Georgia"/>
          <w:sz w:val="24"/>
          <w:szCs w:val="24"/>
        </w:rPr>
        <w:t xml:space="preserve">D’abord, sur le plan méthodologique : les preuves avancées pour l’évolution de l’homme sont exactement du même type que celles avancées pour l’évolution des reptiles, des oiseaux ou des insectes. On ne peut accepter un type de preuves dans un contexte et le rejeter dans un autre sans tomber dans une contradiction méthodologique flagrante.</w:t>
      </w:r>
    </w:p>
    <w:p>
      <w:pPr>
        <w:spacing w:after="100" w:before="100" w:line="340"/>
        <w:jc w:val="both"/>
      </w:pPr>
      <w:r>
        <w:rPr>
          <w:rFonts w:ascii="Georgia" w:cs="Georgia" w:eastAsia="Georgia" w:hAnsi="Georgia"/>
          <w:sz w:val="24"/>
          <w:szCs w:val="24"/>
        </w:rPr>
        <w:t xml:space="preserve">Ensuite, la macroévolution est une théorie intégrée et continue. La dissocier est artificiel. Si le texte révélé est assez fort pour briser la chaîne évolutive à un niveau, il la brise entièrement — car le même type d’argument s’applique à l’ensemble de la chaîne.</w:t>
      </w:r>
    </w:p>
    <w:p>
      <w:pPr>
        <w:spacing w:after="100" w:before="100" w:line="340"/>
        <w:jc w:val="both"/>
      </w:pPr>
      <w:r>
        <w:rPr>
          <w:rFonts w:ascii="Georgia" w:cs="Georgia" w:eastAsia="Georgia" w:hAnsi="Georgia"/>
          <w:sz w:val="24"/>
          <w:szCs w:val="24"/>
        </w:rPr>
        <w:t xml:space="preserve">Sur le plan coranique, le verset « L’exemple de Jésus auprès de Dieu est comme celui d’Adam » (Aal Imran : 59) réfute l’évolution par sa logique interne : l’argument n’a de sens que si Adam a bien été créé directement, sans parenté animale. Si Adam descendait d’autres créatures, la comparaison perdrait toute sa force démonstrative.</w:t>
      </w:r>
    </w:p>
    <w:p>
      <w:pPr>
        <w:spacing w:after="100" w:before="100" w:line="340"/>
        <w:jc w:val="both"/>
      </w:pPr>
      <w:r>
        <w:rPr>
          <w:rFonts w:ascii="Georgia" w:cs="Georgia" w:eastAsia="Georgia" w:hAnsi="Georgia"/>
          <w:sz w:val="24"/>
          <w:szCs w:val="24"/>
        </w:rPr>
        <w:t xml:space="preserve">Quant aux versets parfois cités à l’appui de l’évolution — « Il vous a fait pousser de la terre comme une plante » ou « Il vous a créés par étapes » — ils renvoient respectivement à la croissance (le verbe arabe أنبَتَكُم signifie « Il vous a fait croître », non « Il vous a transformés en plantes ») et aux étapes du développement embryonnaire décrites ailleurs dans le Coran lui-même. L’exégèse transmise des Compagnons et des Tābi’ūn ne laisse place à aucune interprétation évolutionniste.</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VII. Les fondements philosophiques en question</w:t>
      </w:r>
    </w:p>
    <w:p>
      <w:pPr>
        <w:spacing w:after="100" w:before="100" w:line="340"/>
        <w:jc w:val="both"/>
      </w:pPr>
      <w:r>
        <w:rPr>
          <w:rFonts w:ascii="Georgia" w:cs="Georgia" w:eastAsia="Georgia" w:hAnsi="Georgia"/>
          <w:sz w:val="24"/>
          <w:szCs w:val="24"/>
        </w:rPr>
        <w:t xml:space="preserve">Le désaccord avec le darwinisme dépasse la biologie. Il touche aux fondements épistémologiques sur lesquels la théorie a été construite. Expliquer la ressemblance biologique comme preuve d’un ancêtre commun — et non d’un Créateur unique — est une décision philosophique, non scientifique. Elle présuppose l’absence de Créateur avant même d’examiner les faits.</w:t>
      </w:r>
    </w:p>
    <w:p>
      <w:pPr>
        <w:spacing w:after="100" w:before="100" w:line="340"/>
        <w:jc w:val="both"/>
      </w:pPr>
      <w:r>
        <w:rPr>
          <w:rFonts w:ascii="Georgia" w:cs="Georgia" w:eastAsia="Georgia" w:hAnsi="Georgia"/>
          <w:sz w:val="24"/>
          <w:szCs w:val="24"/>
        </w:rPr>
        <w:t xml:space="preserve">De plus, la macroévolution échappe au domaine de la science expérimentale, qui repose sur l’observation et la mesure. Or la macroévolution n’a jamais été observée ni mesurée. Karl Popper l’avait lui-même qualifiée de métaphysique. Les grandes affirmations de la théorie relèvent davantage de la foi matérialiste que de la rigueur scientifique.</w:t>
      </w:r>
    </w:p>
    <w:p>
      <w:pPr>
        <w:spacing w:after="100" w:before="100" w:line="340"/>
        <w:jc w:val="both"/>
      </w:pPr>
      <w:r>
        <w:rPr>
          <w:rFonts w:ascii="Georgia" w:cs="Georgia" w:eastAsia="Georgia" w:hAnsi="Georgia"/>
          <w:sz w:val="24"/>
          <w:szCs w:val="24"/>
        </w:rPr>
        <w:t xml:space="preserve">Cette réalité est masquée par un phénomène de conditionnement académique : la théorie est répétée comme un axiome dans les cours de biologie, de médecine, de botanique. L’étudiant finit par la tenir pour une évidence, non parce qu’il a examiné les preuves, mais parce qu’il a subi une pression intellectuelle constante. La vulgarisation scientifique aggrave ce processus en transformant les hypothèses prudentes des articles académiques en certitudes absolues relayées sur YouTube et les réseaux sociaux.</w:t>
      </w:r>
    </w:p>
    <w:p>
      <w:pPr>
        <w:pBdr>
          <w:bottom w:val="single" w:color="AED6F1" w:sz="4"/>
        </w:pBdr>
        <w:spacing w:after="280" w:before="280"/>
      </w:pPr>
    </w:p>
    <w:p>
      <w:pPr>
        <w:pStyle w:val="Heading2"/>
        <w:spacing w:after="140" w:before="360"/>
        <w:ind w:left="200"/>
      </w:pPr>
      <w:r>
        <w:rPr>
          <w:rFonts w:ascii="Arial" w:cs="Arial" w:eastAsia="Arial" w:hAnsi="Arial"/>
          <w:b/>
          <w:bCs/>
          <w:color w:val="1A5276"/>
          <w:sz w:val="28"/>
          <w:szCs w:val="28"/>
        </w:rPr>
        <w:t xml:space="preserve">Conclusion : clarté doctrinale face à un défi contemporain</w:t>
      </w:r>
    </w:p>
    <w:p>
      <w:pPr>
        <w:spacing w:after="100" w:before="100" w:line="340"/>
        <w:jc w:val="both"/>
      </w:pPr>
      <w:r>
        <w:rPr>
          <w:rFonts w:ascii="Georgia" w:cs="Georgia" w:eastAsia="Georgia" w:hAnsi="Georgia"/>
          <w:sz w:val="24"/>
          <w:szCs w:val="24"/>
        </w:rPr>
        <w:t xml:space="preserve">La théorie de l’évolution n’est pas un bloc monolithique. Il convient de distinguer avec rigueur : la microévolution, qui est un phénomène réel et observable, et la macroévolution darwinienne, qui est une hypothèse philosophiquement chargée, scientifiquement non démontrée et religieusement incompatible avec la révélation islamique.</w:t>
      </w:r>
    </w:p>
    <w:p>
      <w:pPr>
        <w:spacing w:after="100" w:before="100" w:line="340"/>
        <w:jc w:val="both"/>
      </w:pPr>
      <w:r>
        <w:rPr>
          <w:rFonts w:ascii="Georgia" w:cs="Georgia" w:eastAsia="Georgia" w:hAnsi="Georgia"/>
          <w:sz w:val="24"/>
          <w:szCs w:val="24"/>
        </w:rPr>
        <w:t xml:space="preserve">Pour les éducateurs, les parents et les prédicateurs, la priorité est double : maîtriser les arguments scientifiques qui mettent en évidence les failles de la macroévolution, et préserver les jeunes d’un conditionnement idéologique qui se présente sous les atours de la science.</w:t>
      </w:r>
    </w:p>
    <w:p>
      <w:pPr>
        <w:pBdr>
          <w:bottom w:val="single" w:color="AED6F1" w:sz="2"/>
        </w:pBdr>
        <w:spacing w:after="200" w:before="200"/>
        <w:ind w:left="720" w:right="360"/>
        <w:jc w:val="both"/>
      </w:pPr>
      <w:r>
        <w:rPr>
          <w:rFonts w:ascii="Georgia" w:cs="Georgia" w:eastAsia="Georgia" w:hAnsi="Georgia"/>
          <w:i/>
          <w:iCs/>
          <w:color w:val="1A5276"/>
          <w:sz w:val="22"/>
          <w:szCs w:val="22"/>
        </w:rPr>
        <w:t xml:space="preserve">« Ce n’est pas parce qu’il a vu des preuves, mais par pression sur son esprit et fatigue du bourrage de crâne. Il faut donc faire attention au contenu, car manipuler les esprits a un impact qui dure très longtemps. »</w:t>
      </w:r>
      <w:r>
        <w:rPr>
          <w:rFonts w:ascii="Arial" w:cs="Arial" w:eastAsia="Arial" w:hAnsi="Arial"/>
          <w:b/>
          <w:bCs/>
          <w:color w:val="555555"/>
          <w:sz w:val="20"/>
          <w:szCs w:val="20"/>
        </w:rPr>
        <w:t xml:space="preserve">  — Dr Hicham Azmi</w:t>
      </w:r>
    </w:p>
    <w:p>
      <w:pPr>
        <w:spacing w:after="100" w:before="100" w:line="340"/>
        <w:jc w:val="both"/>
      </w:pPr>
      <w:r>
        <w:rPr>
          <w:rFonts w:ascii="Georgia" w:cs="Georgia" w:eastAsia="Georgia" w:hAnsi="Georgia"/>
          <w:i/>
          <w:iCs/>
          <w:sz w:val="24"/>
          <w:szCs w:val="24"/>
        </w:rPr>
        <w:t xml:space="preserve">Les savants musulmans disposent aujourd’hui d’outils intellectuels solides pour répondre à ces défis avec compétence et sérénité, sans concession ni excès — dans la voie de la méthodologie des gens de la Sunna.</w:t>
      </w:r>
    </w:p>
    <w:p>
      <w:pPr>
        <w:pBdr>
          <w:bottom w:val="single" w:color="AED6F1" w:sz="4"/>
        </w:pBdr>
        <w:spacing w:after="280" w:before="280"/>
      </w:pPr>
    </w:p>
    <w:p>
      <w:pPr>
        <w:spacing w:after="0" w:before="200"/>
      </w:pPr>
      <w:r>
        <w:rPr>
          <w:rFonts w:ascii="Arial" w:cs="Arial" w:eastAsia="Arial" w:hAnsi="Arial"/>
          <w:i/>
          <w:iCs/>
          <w:color w:val="555555"/>
          <w:sz w:val="18"/>
          <w:szCs w:val="18"/>
        </w:rPr>
        <w:t xml:space="preserve">Cet article est tiré d’un entretien avec le Dr Hicham Azmi, auteur de : L’évolution dirigée entre la science et la religion — L’islam et la science — L’athéisme pour les débutants — La question du mal.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pBdr>
      <w:spacing w:before="100"/>
    </w:pPr>
    <w:r>
      <w:rPr>
        <w:rFonts w:ascii="Arial" w:cs="Arial" w:eastAsia="Arial" w:hAnsi="Arial"/>
        <w:i/>
        <w:iCs/>
        <w:color w:val="555555"/>
        <w:sz w:val="16"/>
        <w:szCs w:val="16"/>
      </w:rPr>
      <w:t xml:space="preserve">La Théorie de l’Évolution à la lumière de la Science et de l’Islam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spacing w:after="100"/>
    </w:pPr>
    <w:r>
      <w:rPr>
        <w:rFonts w:ascii="Arial" w:cs="Arial" w:eastAsia="Arial" w:hAnsi="Arial"/>
        <w:i/>
        <w:iCs/>
        <w:color w:val="555555"/>
        <w:sz w:val="18"/>
        <w:szCs w:val="18"/>
      </w:rPr>
      <w:t xml:space="preserve">Collectif Terre Étendue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527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2026-05-11T14:08:18.875Z</dcterms:created>
  <dcterms:modified xsi:type="dcterms:W3CDTF">2026-05-11T14:08:18.888Z</dcterms:modified>
</cp:coreProperties>
</file>

<file path=docProps/custom.xml><?xml version="1.0" encoding="utf-8"?>
<Properties xmlns="http://schemas.openxmlformats.org/officeDocument/2006/custom-properties" xmlns:vt="http://schemas.openxmlformats.org/officeDocument/2006/docPropsVTypes"/>
</file>