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120" w:before="0"/>
        <w:jc w:val="center"/>
      </w:pPr>
      <w:r>
        <w:rPr>
          <w:rFonts w:ascii="Amiri" w:cs="Amiri" w:eastAsia="Amiri" w:hAnsi="Amiri"/>
          <w:color w:val="1F3864"/>
          <w:sz w:val="40"/>
          <w:szCs w:val="40"/>
        </w:rPr>
        <w:t xml:space="preserve">بِسْمِ اللهِ الرَّحْمَٰنِ الرَّحِيمِ</w:t>
      </w:r>
    </w:p>
    <w:p>
      <w:pPr>
        <w:spacing w:after="240" w:before="0"/>
      </w:pPr>
    </w:p>
    <w:p>
      <w:pPr>
        <w:pBdr>
          <w:bottom w:val="double" w:color="B8860B" w:sz="6"/>
        </w:pBdr>
        <w:spacing w:after="140" w:before="0"/>
        <w:jc w:val="center"/>
      </w:pPr>
      <w:r>
        <w:rPr>
          <w:rFonts w:ascii="Georgia" w:cs="Georgia" w:eastAsia="Georgia" w:hAnsi="Georgia"/>
          <w:b/>
          <w:bCs/>
          <w:color w:val="1A4A2E"/>
          <w:sz w:val="46"/>
          <w:szCs w:val="46"/>
        </w:rPr>
        <w:t xml:space="preserve">ʿUluww d'Allah et Cosmologie Islamique</w:t>
      </w:r>
    </w:p>
    <w:p>
      <w:pPr>
        <w:spacing w:after="80" w:before="100"/>
        <w:jc w:val="center"/>
      </w:pPr>
      <w:r>
        <w:rPr>
          <w:rFonts w:ascii="Georgia" w:cs="Georgia" w:eastAsia="Georgia" w:hAnsi="Georgia"/>
          <w:i/>
          <w:iCs/>
          <w:color w:val="1F3864"/>
          <w:sz w:val="28"/>
          <w:szCs w:val="28"/>
        </w:rPr>
        <w:t xml:space="preserve">Terre Plate, Modèle Globe et Taxonomie des Déviations Kalāmiques</w:t>
      </w:r>
    </w:p>
    <w:p>
      <w:pPr>
        <w:spacing w:after="60" w:before="60"/>
        <w:jc w:val="center"/>
      </w:pPr>
      <w:r>
        <w:rPr>
          <w:rFonts w:ascii="Amiri" w:cs="Amiri" w:eastAsia="Amiri" w:hAnsi="Amiri"/>
          <w:color w:val="B8860B"/>
          <w:sz w:val="28"/>
          <w:szCs w:val="28"/>
        </w:rPr>
        <w:t xml:space="preserve">ـــــ  ✦  ـــــ</w:t>
      </w:r>
    </w:p>
    <w:p>
      <w:pPr>
        <w:spacing w:after="600" w:before="60"/>
        <w:jc w:val="center"/>
      </w:pPr>
      <w:r>
        <w:rPr>
          <w:rFonts w:ascii="Georgia" w:cs="Georgia" w:eastAsia="Georgia" w:hAnsi="Georgia"/>
          <w:i/>
          <w:iCs/>
          <w:color w:val="555555"/>
          <w:sz w:val="20"/>
          <w:szCs w:val="20"/>
        </w:rPr>
        <w:t xml:space="preserve">Étude théologique et épistémologique fondée sur les sources du Coran, de la Sunna et des imams de la Salaf</w:t>
      </w:r>
    </w:p>
    <w:p>
      <w:pPr>
        <w:pBdr>
          <w:bottom w:val="single" w:color="B8860B" w:sz="4"/>
        </w:pBdr>
        <w:spacing w:after="240" w:before="240"/>
      </w:pPr>
      <w:r>
        <w:t xml:space="preserve"/>
      </w:r>
    </w:p>
    <w:p>
      <w:pPr>
        <w:pStyle w:val="Heading1"/>
        <w:spacing w:after="180" w:before="440"/>
      </w:pPr>
      <w:r>
        <w:rPr>
          <w:rFonts w:ascii="Georgia" w:cs="Georgia" w:eastAsia="Georgia" w:hAnsi="Georgia"/>
          <w:b/>
          <w:bCs/>
          <w:color w:val="1A4A2E"/>
          <w:sz w:val="32"/>
          <w:szCs w:val="32"/>
        </w:rPr>
        <w:t xml:space="preserve">Introduction</w:t>
      </w:r>
    </w:p>
    <w:p>
      <w:pPr>
        <w:spacing w:after="160" w:before="80" w:line="360"/>
        <w:jc w:val="both"/>
      </w:pPr>
      <w:r>
        <w:rPr>
          <w:rFonts w:ascii="Georgia" w:cs="Georgia" w:eastAsia="Georgia" w:hAnsi="Georgia"/>
          <w:sz w:val="22"/>
          <w:szCs w:val="22"/>
        </w:rPr>
        <w:t xml:space="preserve">La question de la forme de la Terre n'est pas, aux yeux de nombreux musulmans contemporains, une question de ʿaqīda. Elle semble relever de la géographie, des sciences naturelles, d'une curiosité intellectuelle au mieux — et non d'une problématique théologique de premier ordre. Ce document entend démontrer que cette perception est erronée, et que la cosmologie — c'est-à-dire la représentation de la structure de l'univers — conditionne directement la cohérence de l'une des doctrines les plus fondamentales de l'Islam : l'ʿuluww d'Allah, Son élévation réelle au-dessus de Sa création.</w:t>
      </w:r>
    </w:p>
    <w:p>
      <w:pPr>
        <w:spacing w:after="160" w:before="80" w:line="360"/>
        <w:jc w:val="both"/>
      </w:pPr>
      <w:r>
        <w:rPr>
          <w:rFonts w:ascii="Georgia" w:cs="Georgia" w:eastAsia="Georgia" w:hAnsi="Georgia"/>
          <w:sz w:val="22"/>
          <w:szCs w:val="22"/>
        </w:rPr>
        <w:t xml:space="preserve">La forme de l'univers n'est pas un détail cosmétique. Elle détermine s'il existe ou non un « haut » absolu. Et l'existence d'un haut absolu est la condition de possibilité d'un ʿuluww littéral, tel que le Coran et la Sunna le décrivent et tel que les Salaf l'ont affirmé. Lorsque ce fondement cosmologique est remplacé par un modèle sphérique sans haut absolu, une pression logique s'exerce inévitablement sur la ʿaqīda : soit on réinterprète l'ʿuluww (ta'wīl), soit on le neutralise (ta'ṭīl), soit on le maintient dans une tension interne non résolue.</w:t>
      </w:r>
    </w:p>
    <w:p>
      <w:pPr>
        <w:spacing w:after="160" w:before="80" w:line="360"/>
        <w:jc w:val="both"/>
      </w:pPr>
      <w:r>
        <w:rPr>
          <w:rFonts w:ascii="Georgia" w:cs="Georgia" w:eastAsia="Georgia" w:hAnsi="Georgia"/>
          <w:sz w:val="22"/>
          <w:szCs w:val="22"/>
        </w:rPr>
        <w:t xml:space="preserve">Ce document propose une analyse rigoureuse de cette dynamique. Il cartographie les différents courants de pensée islamique selon leur rapport à la cosmologie et à l'ʿuluww, identifie les lignes de démarcation entre conformité à la Sunna et déviance, et rappelle les principes qui doivent gouverner tout jugement porté sur les personnes.</w:t>
      </w:r>
    </w:p>
    <w:p>
      <w:pPr>
        <w:spacing w:after="40" w:before="160"/>
        <w:jc w:val="right"/>
      </w:pPr>
      <w:r>
        <w:rPr>
          <w:rFonts w:ascii="Amiri" w:cs="Amiri" w:eastAsia="Amiri" w:hAnsi="Amiri"/>
          <w:color w:val="8B6914"/>
          <w:sz w:val="24"/>
          <w:szCs w:val="24"/>
        </w:rPr>
        <w:t xml:space="preserve">لَا يَصْلُحُ آخِرُ هَذِهِ الْأُمَّةِ إِلَّا بِمَا صَلَحَ بِهِ أَوَّلُهَا</w:t>
      </w:r>
    </w:p>
    <w:p>
      <w:pPr>
        <w:spacing w:after="40" w:before="0"/>
        <w:jc w:val="center"/>
      </w:pPr>
      <w:r>
        <w:rPr>
          <w:rFonts w:ascii="Georgia" w:cs="Georgia" w:eastAsia="Georgia" w:hAnsi="Georgia"/>
          <w:i/>
          <w:iCs/>
          <w:color w:val="8B6914"/>
          <w:sz w:val="19"/>
          <w:szCs w:val="19"/>
        </w:rPr>
        <w:t xml:space="preserve">Lā yasluḥu ākhiru hādhihi al-umma illā bimā ṣalaḥa bihi awwaluhā</w:t>
      </w:r>
    </w:p>
    <w:p>
      <w:pPr>
        <w:pBdr>
          <w:left w:val="thick" w:color="B8860B" w:sz="8"/>
        </w:pBdr>
        <w:shd w:fill="FDFAF2" w:val="clear"/>
        <w:spacing w:after="40" w:before="40"/>
        <w:ind w:left="480" w:right="480"/>
        <w:jc w:val="both"/>
      </w:pPr>
      <w:r>
        <w:rPr>
          <w:rFonts w:ascii="Georgia" w:cs="Georgia" w:eastAsia="Georgia" w:hAnsi="Georgia"/>
          <w:i/>
          <w:iCs/>
          <w:color w:val="8B6914"/>
          <w:sz w:val="21"/>
          <w:szCs w:val="21"/>
        </w:rPr>
        <w:t xml:space="preserve">« Les derniers de cette communauté ne seront réformés que par ce qui a réformé ses premiers. »</w:t>
      </w:r>
    </w:p>
    <w:p>
      <w:pPr>
        <w:spacing w:after="140" w:before="20"/>
        <w:ind w:right="480"/>
        <w:jc w:val="right"/>
      </w:pPr>
      <w:r>
        <w:rPr>
          <w:rFonts w:ascii="Georgia" w:cs="Georgia" w:eastAsia="Georgia" w:hAnsi="Georgia"/>
          <w:b/>
          <w:bCs/>
          <w:color w:val="8B6914"/>
          <w:sz w:val="19"/>
          <w:szCs w:val="19"/>
        </w:rPr>
        <w:t xml:space="preserve">— Imam Mālik ibn Anas (rahimahullāh)</w:t>
      </w:r>
    </w:p>
    <w:p>
      <w:pPr>
        <w:spacing w:after="160" w:before="80" w:line="360"/>
        <w:jc w:val="both"/>
      </w:pPr>
      <w:r>
        <w:rPr>
          <w:rFonts w:ascii="Georgia" w:cs="Georgia" w:eastAsia="Georgia" w:hAnsi="Georgia"/>
          <w:sz w:val="22"/>
          <w:szCs w:val="22"/>
        </w:rPr>
        <w:t xml:space="preserve">Ce principe directeur est le mīzān à partir duquel toute innovation cosmologique doit être évaluée.</w:t>
      </w:r>
    </w:p>
    <w:p>
      <w:pPr>
        <w:pBdr>
          <w:bottom w:val="single" w:color="B8860B" w:sz="4"/>
        </w:pBdr>
        <w:spacing w:after="240" w:before="240"/>
      </w:pPr>
      <w:r>
        <w:t xml:space="preserve"/>
      </w:r>
    </w:p>
    <w:p>
      <w:pPr>
        <w:pStyle w:val="Heading1"/>
        <w:spacing w:after="180" w:before="440"/>
      </w:pPr>
      <w:r>
        <w:rPr>
          <w:rFonts w:ascii="Georgia" w:cs="Georgia" w:eastAsia="Georgia" w:hAnsi="Georgia"/>
          <w:b/>
          <w:bCs/>
          <w:color w:val="1A4A2E"/>
          <w:sz w:val="32"/>
          <w:szCs w:val="32"/>
        </w:rPr>
        <w:t xml:space="preserve">I. L'ʿUluww d'Allah dans le Coran et la Sunna</w:t>
      </w:r>
    </w:p>
    <w:p>
      <w:pPr>
        <w:pStyle w:val="Heading2"/>
        <w:spacing w:after="140" w:before="300"/>
      </w:pPr>
      <w:r>
        <w:rPr>
          <w:rFonts w:ascii="Georgia" w:cs="Georgia" w:eastAsia="Georgia" w:hAnsi="Georgia"/>
          <w:b/>
          <w:bCs/>
          <w:color w:val="1F3864"/>
          <w:sz w:val="26"/>
          <w:szCs w:val="26"/>
        </w:rPr>
        <w:t xml:space="preserve">1.1 — Les preuves textuelles : une insistance coranique remarquable</w:t>
      </w:r>
    </w:p>
    <w:p>
      <w:pPr>
        <w:spacing w:after="160" w:before="80" w:line="360"/>
        <w:jc w:val="both"/>
      </w:pPr>
      <w:r>
        <w:rPr>
          <w:rFonts w:ascii="Georgia" w:cs="Georgia" w:eastAsia="Georgia" w:hAnsi="Georgia"/>
          <w:sz w:val="22"/>
          <w:szCs w:val="22"/>
        </w:rPr>
        <w:t xml:space="preserve">Le Coran établit avec une insistance que les exégètes eux-mêmes ont soulignée l'élévation d'Allah au-dessus de Sa création. Ibn al-Qayyim al-Jawziyya a recensé, dans son ouvrage Mukhtaṣar al-Ṣawāʿiq al-Mursala, plus de mille preuves coraniques établissant l'ʿuluww sous ses différentes formes : l'istiwāʾ explicite sur le Trône, la fawqiyya (être au-dessus), et la descente de ce qui vient d'Allah.</w:t>
      </w:r>
    </w:p>
    <w:p>
      <w:pPr>
        <w:spacing w:after="40" w:before="160"/>
        <w:jc w:val="right"/>
      </w:pPr>
      <w:r>
        <w:rPr>
          <w:rFonts w:ascii="Amiri" w:cs="Amiri" w:eastAsia="Amiri" w:hAnsi="Amiri"/>
          <w:color w:val="1F3864"/>
          <w:sz w:val="30"/>
          <w:szCs w:val="30"/>
        </w:rPr>
        <w:t xml:space="preserve">الرَّحْمَٰنُ عَلَى الْعَرْشِ اسْتَوَىٰ</w:t>
      </w:r>
    </w:p>
    <w:p>
      <w:pPr>
        <w:spacing w:after="40" w:before="0"/>
        <w:jc w:val="center"/>
      </w:pPr>
      <w:r>
        <w:rPr>
          <w:rFonts w:ascii="Georgia" w:cs="Georgia" w:eastAsia="Georgia" w:hAnsi="Georgia"/>
          <w:i/>
          <w:iCs/>
          <w:color w:val="1F3864"/>
          <w:sz w:val="20"/>
          <w:szCs w:val="20"/>
        </w:rPr>
        <w:t xml:space="preserve">Al-Raḥmānu ʿalā al-ʿArshi stawā</w:t>
      </w:r>
    </w:p>
    <w:p>
      <w:pPr>
        <w:pBdr>
          <w:left w:val="thick" w:color="1F3864" w:sz="8"/>
        </w:pBdr>
        <w:spacing w:after="120" w:before="40"/>
        <w:ind w:left="480"/>
        <w:jc w:val="both"/>
      </w:pPr>
      <w:r>
        <w:rPr>
          <w:rFonts w:ascii="Georgia" w:cs="Georgia" w:eastAsia="Georgia" w:hAnsi="Georgia"/>
          <w:i/>
          <w:iCs/>
          <w:color w:val="1F3864"/>
          <w:sz w:val="22"/>
          <w:szCs w:val="22"/>
        </w:rPr>
        <w:t xml:space="preserve">« Le Tout Miséricordieux S'est établi sur le Trône. »</w:t>
      </w:r>
      <w:r>
        <w:rPr>
          <w:rFonts w:ascii="Georgia" w:cs="Georgia" w:eastAsia="Georgia" w:hAnsi="Georgia"/>
          <w:b/>
          <w:bCs/>
          <w:color w:val="1F3864"/>
          <w:sz w:val="20"/>
          <w:szCs w:val="20"/>
        </w:rPr>
        <w:t xml:space="preserve">  [Sūrat Ṭā-Hā 20:5]</w:t>
      </w:r>
    </w:p>
    <w:p>
      <w:pPr>
        <w:spacing w:after="40" w:before="160"/>
        <w:jc w:val="right"/>
      </w:pPr>
      <w:r>
        <w:rPr>
          <w:rFonts w:ascii="Amiri" w:cs="Amiri" w:eastAsia="Amiri" w:hAnsi="Amiri"/>
          <w:color w:val="1F3864"/>
          <w:sz w:val="30"/>
          <w:szCs w:val="30"/>
        </w:rPr>
        <w:t xml:space="preserve">وَهُوَ الْقَاهِرُ فَوْقَ عِبَادِهِ</w:t>
      </w:r>
    </w:p>
    <w:p>
      <w:pPr>
        <w:spacing w:after="40" w:before="0"/>
        <w:jc w:val="center"/>
      </w:pPr>
      <w:r>
        <w:rPr>
          <w:rFonts w:ascii="Georgia" w:cs="Georgia" w:eastAsia="Georgia" w:hAnsi="Georgia"/>
          <w:i/>
          <w:iCs/>
          <w:color w:val="1F3864"/>
          <w:sz w:val="20"/>
          <w:szCs w:val="20"/>
        </w:rPr>
        <w:t xml:space="preserve">Wa Huwa al-qāhiru fawqa ʿibādihi</w:t>
      </w:r>
    </w:p>
    <w:p>
      <w:pPr>
        <w:pBdr>
          <w:left w:val="thick" w:color="1F3864" w:sz="8"/>
        </w:pBdr>
        <w:spacing w:after="120" w:before="40"/>
        <w:ind w:left="480"/>
        <w:jc w:val="both"/>
      </w:pPr>
      <w:r>
        <w:rPr>
          <w:rFonts w:ascii="Georgia" w:cs="Georgia" w:eastAsia="Georgia" w:hAnsi="Georgia"/>
          <w:i/>
          <w:iCs/>
          <w:color w:val="1F3864"/>
          <w:sz w:val="22"/>
          <w:szCs w:val="22"/>
        </w:rPr>
        <w:t xml:space="preserve">« Il est le Dominateur au-dessus de Ses serviteurs. »</w:t>
      </w:r>
      <w:r>
        <w:rPr>
          <w:rFonts w:ascii="Georgia" w:cs="Georgia" w:eastAsia="Georgia" w:hAnsi="Georgia"/>
          <w:b/>
          <w:bCs/>
          <w:color w:val="1F3864"/>
          <w:sz w:val="20"/>
          <w:szCs w:val="20"/>
        </w:rPr>
        <w:t xml:space="preserve">  [Sūrat Al-Anʿām 6:18]</w:t>
      </w:r>
    </w:p>
    <w:p>
      <w:pPr>
        <w:spacing w:after="40" w:before="160"/>
        <w:jc w:val="right"/>
      </w:pPr>
      <w:r>
        <w:rPr>
          <w:rFonts w:ascii="Amiri" w:cs="Amiri" w:eastAsia="Amiri" w:hAnsi="Amiri"/>
          <w:color w:val="1F3864"/>
          <w:sz w:val="30"/>
          <w:szCs w:val="30"/>
        </w:rPr>
        <w:t xml:space="preserve">يَخَافُونَ رَبَّهُم مِّن فَوْقِهِمْ وَيَفْعَلُونَ مَا يُؤْمَرُونَ</w:t>
      </w:r>
    </w:p>
    <w:p>
      <w:pPr>
        <w:spacing w:after="40" w:before="0"/>
        <w:jc w:val="center"/>
      </w:pPr>
      <w:r>
        <w:rPr>
          <w:rFonts w:ascii="Georgia" w:cs="Georgia" w:eastAsia="Georgia" w:hAnsi="Georgia"/>
          <w:i/>
          <w:iCs/>
          <w:color w:val="1F3864"/>
          <w:sz w:val="20"/>
          <w:szCs w:val="20"/>
        </w:rPr>
        <w:t xml:space="preserve">Yakhāfūna Rabbahum min fawqihim wa yafʿalūna mā yuʾmarūn</w:t>
      </w:r>
    </w:p>
    <w:p>
      <w:pPr>
        <w:pBdr>
          <w:left w:val="thick" w:color="1F3864" w:sz="8"/>
        </w:pBdr>
        <w:spacing w:after="120" w:before="40"/>
        <w:ind w:left="480"/>
        <w:jc w:val="both"/>
      </w:pPr>
      <w:r>
        <w:rPr>
          <w:rFonts w:ascii="Georgia" w:cs="Georgia" w:eastAsia="Georgia" w:hAnsi="Georgia"/>
          <w:i/>
          <w:iCs/>
          <w:color w:val="1F3864"/>
          <w:sz w:val="22"/>
          <w:szCs w:val="22"/>
        </w:rPr>
        <w:t xml:space="preserve">« Ils craignent leur Seigneur qui est au-dessus d'eux et ils font ce qu'Il leur ordonne. »</w:t>
      </w:r>
      <w:r>
        <w:rPr>
          <w:rFonts w:ascii="Georgia" w:cs="Georgia" w:eastAsia="Georgia" w:hAnsi="Georgia"/>
          <w:b/>
          <w:bCs/>
          <w:color w:val="1F3864"/>
          <w:sz w:val="20"/>
          <w:szCs w:val="20"/>
        </w:rPr>
        <w:t xml:space="preserve">  [Sūrat Al-Naḥl 16:50]</w:t>
      </w:r>
    </w:p>
    <w:p>
      <w:pPr>
        <w:spacing w:after="40" w:before="160"/>
        <w:jc w:val="right"/>
      </w:pPr>
      <w:r>
        <w:rPr>
          <w:rFonts w:ascii="Amiri" w:cs="Amiri" w:eastAsia="Amiri" w:hAnsi="Amiri"/>
          <w:color w:val="1F3864"/>
          <w:sz w:val="30"/>
          <w:szCs w:val="30"/>
        </w:rPr>
        <w:t xml:space="preserve">إِلَيْهِ يَصْعَدُ الْكَلِمُ الطَّيِّبُ</w:t>
      </w:r>
    </w:p>
    <w:p>
      <w:pPr>
        <w:spacing w:after="40" w:before="0"/>
        <w:jc w:val="center"/>
      </w:pPr>
      <w:r>
        <w:rPr>
          <w:rFonts w:ascii="Georgia" w:cs="Georgia" w:eastAsia="Georgia" w:hAnsi="Georgia"/>
          <w:i/>
          <w:iCs/>
          <w:color w:val="1F3864"/>
          <w:sz w:val="20"/>
          <w:szCs w:val="20"/>
        </w:rPr>
        <w:t xml:space="preserve">Ilayhi yaṣʿadu al-kalimu al-ṭayyib</w:t>
      </w:r>
    </w:p>
    <w:p>
      <w:pPr>
        <w:pBdr>
          <w:left w:val="thick" w:color="1F3864" w:sz="8"/>
        </w:pBdr>
        <w:spacing w:after="120" w:before="40"/>
        <w:ind w:left="480"/>
        <w:jc w:val="both"/>
      </w:pPr>
      <w:r>
        <w:rPr>
          <w:rFonts w:ascii="Georgia" w:cs="Georgia" w:eastAsia="Georgia" w:hAnsi="Georgia"/>
          <w:i/>
          <w:iCs/>
          <w:color w:val="1F3864"/>
          <w:sz w:val="22"/>
          <w:szCs w:val="22"/>
        </w:rPr>
        <w:t xml:space="preserve">« C'est vers Lui que montent les bonnes paroles. »</w:t>
      </w:r>
      <w:r>
        <w:rPr>
          <w:rFonts w:ascii="Georgia" w:cs="Georgia" w:eastAsia="Georgia" w:hAnsi="Georgia"/>
          <w:b/>
          <w:bCs/>
          <w:color w:val="1F3864"/>
          <w:sz w:val="20"/>
          <w:szCs w:val="20"/>
        </w:rPr>
        <w:t xml:space="preserve">  [Sūrat Fāṭir 35:10]</w:t>
      </w:r>
    </w:p>
    <w:p>
      <w:pPr>
        <w:spacing w:after="160" w:before="80" w:line="360"/>
        <w:jc w:val="both"/>
      </w:pPr>
      <w:r>
        <w:rPr>
          <w:rFonts w:ascii="Georgia" w:cs="Georgia" w:eastAsia="Georgia" w:hAnsi="Georgia"/>
          <w:sz w:val="22"/>
          <w:szCs w:val="22"/>
        </w:rPr>
        <w:t xml:space="preserve">La récurrence de ces formulations — fawqa (au-dessus), ʿalā (sur), yaṣʿadu (monte vers Lui), min fawqihim (au-dessus d'eux) — indique que la direction de l'élévation n'est pas un artifice stylistique mais un élément constitutif de la description coranique d'Allah.</w:t>
      </w:r>
    </w:p>
    <w:p>
      <w:pPr>
        <w:pStyle w:val="Heading2"/>
        <w:spacing w:after="140" w:before="300"/>
      </w:pPr>
      <w:r>
        <w:rPr>
          <w:rFonts w:ascii="Georgia" w:cs="Georgia" w:eastAsia="Georgia" w:hAnsi="Georgia"/>
          <w:b/>
          <w:bCs/>
          <w:color w:val="1F3864"/>
          <w:sz w:val="26"/>
          <w:szCs w:val="26"/>
        </w:rPr>
        <w:t xml:space="preserve">1.2 — La Sunna : le critère de la servante</w:t>
      </w:r>
    </w:p>
    <w:p>
      <w:pPr>
        <w:spacing w:after="160" w:before="80" w:line="360"/>
        <w:jc w:val="both"/>
      </w:pPr>
      <w:r>
        <w:rPr>
          <w:rFonts w:ascii="Georgia" w:cs="Georgia" w:eastAsia="Georgia" w:hAnsi="Georgia"/>
          <w:sz w:val="22"/>
          <w:szCs w:val="22"/>
        </w:rPr>
        <w:t xml:space="preserve">La Sunna du Prophète ﷺ confirme et précise cette réalité. Le hadīth dit « de la servante » constitue l'un des textes les plus explicites de l'ensemble de la tradition prophétique sur la localisation spatiale d'Allah.</w:t>
      </w:r>
    </w:p>
    <w:p>
      <w:pPr>
        <w:spacing w:after="40" w:before="160"/>
        <w:jc w:val="right"/>
      </w:pPr>
      <w:r>
        <w:rPr>
          <w:rFonts w:ascii="Amiri" w:cs="Amiri" w:eastAsia="Amiri" w:hAnsi="Amiri"/>
          <w:color w:val="C00000"/>
          <w:sz w:val="26"/>
          <w:szCs w:val="26"/>
        </w:rPr>
        <w:t xml:space="preserve">أَيْنَ اللهُ؟ قَالَتْ: فِي السَّمَاءِ. قَالَ: مَنْ أَنَا؟ قَالَتْ: أَنْتَ رَسُولُ اللهِ. قَالَ: أَعْتِقْهَا فَإِنَّهَا مُؤْمِنَةٌ</w:t>
      </w:r>
    </w:p>
    <w:p>
      <w:pPr>
        <w:spacing w:after="40" w:before="0"/>
        <w:jc w:val="center"/>
      </w:pPr>
      <w:r>
        <w:rPr>
          <w:rFonts w:ascii="Georgia" w:cs="Georgia" w:eastAsia="Georgia" w:hAnsi="Georgia"/>
          <w:i/>
          <w:iCs/>
          <w:color w:val="C00000"/>
          <w:sz w:val="19"/>
          <w:szCs w:val="19"/>
        </w:rPr>
        <w:t xml:space="preserve">Ayna Allāhu? Qālat: fī al-samāʾ. Qāla: man anā? Qālat: anta rasūlu Allāh. Qāla: aʿtiqhā fa-innahā muʾmina</w:t>
      </w:r>
    </w:p>
    <w:p>
      <w:pPr>
        <w:spacing w:after="120" w:before="40"/>
        <w:ind w:left="360"/>
        <w:jc w:val="both"/>
      </w:pPr>
      <w:r>
        <w:rPr>
          <w:rFonts w:ascii="Georgia" w:cs="Georgia" w:eastAsia="Georgia" w:hAnsi="Georgia"/>
          <w:i/>
          <w:iCs/>
          <w:color w:val="C00000"/>
          <w:sz w:val="21"/>
          <w:szCs w:val="21"/>
        </w:rPr>
        <w:t xml:space="preserve">« Il [le Prophète ﷺ] dit : Où est Allah ? Elle dit : Au ciel. Il dit : Qui suis-je ? Elle dit : Tu es le Messager d'Allah. Il dit : Affranchis-la, car elle est croyante. »</w:t>
      </w:r>
      <w:r>
        <w:rPr>
          <w:rFonts w:ascii="Georgia" w:cs="Georgia" w:eastAsia="Georgia" w:hAnsi="Georgia"/>
          <w:b/>
          <w:bCs/>
          <w:color w:val="C00000"/>
          <w:sz w:val="19"/>
          <w:szCs w:val="19"/>
        </w:rPr>
        <w:t xml:space="preserve">  [Ṣaḥīḥ Muslim, n° 537 — hadīth de Muʿāwiya ibn al-Ḥakam al-Sulamī]</w:t>
      </w:r>
    </w:p>
    <w:p>
      <w:pPr>
        <w:spacing w:after="160" w:before="80" w:line="360"/>
        <w:jc w:val="both"/>
      </w:pPr>
      <w:r>
        <w:rPr>
          <w:rFonts w:ascii="Georgia" w:cs="Georgia" w:eastAsia="Georgia" w:hAnsi="Georgia"/>
          <w:sz w:val="22"/>
          <w:szCs w:val="22"/>
        </w:rPr>
        <w:t xml:space="preserve">Ce hadīth est d'une portée doctrinale considérable. Le Prophète ﷺ a utilisé la réponse à la question « Où est Allah ? » comme critère permettant d'évaluer la foi d'une personne. Répondre correctement — en indiquant la direction du ciel — était suffisant pour attester de l'īmān. Cela signifie que la notion d'ʿuluww est intimement liée à la shahāda dans sa dimension pratique et que la nier ou la réinterpréter ne constitue pas une simple divergence académique.</w:t>
      </w:r>
    </w:p>
    <w:p>
      <w:pPr>
        <w:pStyle w:val="Heading2"/>
        <w:spacing w:after="140" w:before="300"/>
      </w:pPr>
      <w:r>
        <w:rPr>
          <w:rFonts w:ascii="Georgia" w:cs="Georgia" w:eastAsia="Georgia" w:hAnsi="Georgia"/>
          <w:b/>
          <w:bCs/>
          <w:color w:val="1F3864"/>
          <w:sz w:val="26"/>
          <w:szCs w:val="26"/>
        </w:rPr>
        <w:t xml:space="preserve">1.3 — La position unanime des Salaf</w:t>
      </w:r>
    </w:p>
    <w:p>
      <w:pPr>
        <w:spacing w:after="160" w:before="80" w:line="360"/>
        <w:jc w:val="both"/>
      </w:pPr>
      <w:r>
        <w:rPr>
          <w:rFonts w:ascii="Georgia" w:cs="Georgia" w:eastAsia="Georgia" w:hAnsi="Georgia"/>
          <w:sz w:val="22"/>
          <w:szCs w:val="22"/>
        </w:rPr>
        <w:t xml:space="preserve">Les Salaf al-Ṣāliḥ — les Compagnons, les Successeurs et les imams des trois premiers siècles — ont affirmé unanimement l'ʿuluww d'Allah de manière littérale (ḥaqīqī), sans ta'wīl, sans ta'ṭīl et sans tashbīh. Cette unanimité est documentée dans de nombreuses sources primaires.</w:t>
      </w:r>
    </w:p>
    <w:p>
      <w:pPr>
        <w:spacing w:after="40" w:before="160"/>
        <w:jc w:val="right"/>
      </w:pPr>
      <w:r>
        <w:rPr>
          <w:rFonts w:ascii="Amiri" w:cs="Amiri" w:eastAsia="Amiri" w:hAnsi="Amiri"/>
          <w:color w:val="8B6914"/>
          <w:sz w:val="24"/>
          <w:szCs w:val="24"/>
        </w:rPr>
        <w:t xml:space="preserve">أُقِرُّ بِأَنَّ اللهَ عَلَى الْعَرْشِ بَائِنٌ مِنْ خَلْقِهِ</w:t>
      </w:r>
    </w:p>
    <w:p>
      <w:pPr>
        <w:spacing w:after="40" w:before="0"/>
        <w:jc w:val="center"/>
      </w:pPr>
      <w:r>
        <w:rPr>
          <w:rFonts w:ascii="Georgia" w:cs="Georgia" w:eastAsia="Georgia" w:hAnsi="Georgia"/>
          <w:i/>
          <w:iCs/>
          <w:color w:val="8B6914"/>
          <w:sz w:val="19"/>
          <w:szCs w:val="19"/>
        </w:rPr>
        <w:t xml:space="preserve">Uqirru bi-anna Allāha ʿalā al-ʿArsh bāʾin min khalqih</w:t>
      </w:r>
    </w:p>
    <w:p>
      <w:pPr>
        <w:pBdr>
          <w:left w:val="thick" w:color="B8860B" w:sz="8"/>
        </w:pBdr>
        <w:shd w:fill="FDFAF2" w:val="clear"/>
        <w:spacing w:after="40" w:before="40"/>
        <w:ind w:left="480" w:right="480"/>
        <w:jc w:val="both"/>
      </w:pPr>
      <w:r>
        <w:rPr>
          <w:rFonts w:ascii="Georgia" w:cs="Georgia" w:eastAsia="Georgia" w:hAnsi="Georgia"/>
          <w:i/>
          <w:iCs/>
          <w:color w:val="8B6914"/>
          <w:sz w:val="21"/>
          <w:szCs w:val="21"/>
        </w:rPr>
        <w:t xml:space="preserve">« J'affirme qu'Allah est sur Son Trône, séparé de Sa création. »</w:t>
      </w:r>
    </w:p>
    <w:p>
      <w:pPr>
        <w:spacing w:after="140" w:before="20"/>
        <w:ind w:right="480"/>
        <w:jc w:val="right"/>
      </w:pPr>
      <w:r>
        <w:rPr>
          <w:rFonts w:ascii="Georgia" w:cs="Georgia" w:eastAsia="Georgia" w:hAnsi="Georgia"/>
          <w:b/>
          <w:bCs/>
          <w:color w:val="8B6914"/>
          <w:sz w:val="19"/>
          <w:szCs w:val="19"/>
        </w:rPr>
        <w:t xml:space="preserve">— Al-Awzāʿī (mort 157 H) — rapporté par al-Dhahabī dans Al-ʿUluww lil-ʿAliyy al-Ghaffār</w:t>
      </w:r>
    </w:p>
    <w:p>
      <w:pPr>
        <w:spacing w:after="40" w:before="160"/>
        <w:jc w:val="right"/>
      </w:pPr>
      <w:r>
        <w:rPr>
          <w:rFonts w:ascii="Amiri" w:cs="Amiri" w:eastAsia="Amiri" w:hAnsi="Amiri"/>
          <w:color w:val="8B6914"/>
          <w:sz w:val="24"/>
          <w:szCs w:val="24"/>
        </w:rPr>
        <w:t xml:space="preserve">اللهُ فَوْقَ الْعَرْشِ وَعِلْمُهُ فِي كُلِّ مَكَانٍ</w:t>
      </w:r>
    </w:p>
    <w:p>
      <w:pPr>
        <w:spacing w:after="40" w:before="0"/>
        <w:jc w:val="center"/>
      </w:pPr>
      <w:r>
        <w:rPr>
          <w:rFonts w:ascii="Georgia" w:cs="Georgia" w:eastAsia="Georgia" w:hAnsi="Georgia"/>
          <w:i/>
          <w:iCs/>
          <w:color w:val="8B6914"/>
          <w:sz w:val="19"/>
          <w:szCs w:val="19"/>
        </w:rPr>
        <w:t xml:space="preserve">Allāhu fawqa al-ʿArsh wa ʿilmuhu fī kulli makān</w:t>
      </w:r>
    </w:p>
    <w:p>
      <w:pPr>
        <w:pBdr>
          <w:left w:val="thick" w:color="B8860B" w:sz="8"/>
        </w:pBdr>
        <w:shd w:fill="FDFAF2" w:val="clear"/>
        <w:spacing w:after="40" w:before="40"/>
        <w:ind w:left="480" w:right="480"/>
        <w:jc w:val="both"/>
      </w:pPr>
      <w:r>
        <w:rPr>
          <w:rFonts w:ascii="Georgia" w:cs="Georgia" w:eastAsia="Georgia" w:hAnsi="Georgia"/>
          <w:i/>
          <w:iCs/>
          <w:color w:val="8B6914"/>
          <w:sz w:val="21"/>
          <w:szCs w:val="21"/>
        </w:rPr>
        <w:t xml:space="preserve">« Allah est au-dessus du Trône, et Sa science est en tout lieu. »</w:t>
      </w:r>
    </w:p>
    <w:p>
      <w:pPr>
        <w:spacing w:after="140" w:before="20"/>
        <w:ind w:right="480"/>
        <w:jc w:val="right"/>
      </w:pPr>
      <w:r>
        <w:rPr>
          <w:rFonts w:ascii="Georgia" w:cs="Georgia" w:eastAsia="Georgia" w:hAnsi="Georgia"/>
          <w:b/>
          <w:bCs/>
          <w:color w:val="8B6914"/>
          <w:sz w:val="19"/>
          <w:szCs w:val="19"/>
        </w:rPr>
        <w:t xml:space="preserve">— Imam Aḥmad ibn Ḥanbal — Aqīdat Aḥmad, narration de son fils ʿAbdullāh ibn Aḥmad</w:t>
      </w:r>
    </w:p>
    <w:p>
      <w:pPr>
        <w:spacing w:after="40" w:before="160"/>
        <w:jc w:val="right"/>
      </w:pPr>
      <w:r>
        <w:rPr>
          <w:rFonts w:ascii="Amiri" w:cs="Amiri" w:eastAsia="Amiri" w:hAnsi="Amiri"/>
          <w:color w:val="8B6914"/>
          <w:sz w:val="24"/>
          <w:szCs w:val="24"/>
        </w:rPr>
        <w:t xml:space="preserve">قِيلَ لِمَالِكٍ: كَيْفَ اسْتَوَى؟ قَالَ: الاسْتِوَاءُ مَعْلُومٌ وَالْكَيْفُ مَجْهُولٌ وَالإِيمَانُ بِهِ وَاجِبٌ وَالسُّؤَالُ عَنْهُ بِدْعَةٌ</w:t>
      </w:r>
    </w:p>
    <w:p>
      <w:pPr>
        <w:spacing w:after="40" w:before="0"/>
        <w:jc w:val="center"/>
      </w:pPr>
      <w:r>
        <w:rPr>
          <w:rFonts w:ascii="Georgia" w:cs="Georgia" w:eastAsia="Georgia" w:hAnsi="Georgia"/>
          <w:i/>
          <w:iCs/>
          <w:color w:val="8B6914"/>
          <w:sz w:val="19"/>
          <w:szCs w:val="19"/>
        </w:rPr>
        <w:t xml:space="preserve">Qīla li-Mālik: Kayfa stawā? Qāla: Al-istiwāʾu maʿlūm wa al-kayfu majhūl wa al-īmānu bihi wājib wa al-suʾālu ʿanhu bidʿa</w:t>
      </w:r>
    </w:p>
    <w:p>
      <w:pPr>
        <w:pBdr>
          <w:left w:val="thick" w:color="B8860B" w:sz="8"/>
        </w:pBdr>
        <w:shd w:fill="FDFAF2" w:val="clear"/>
        <w:spacing w:after="40" w:before="40"/>
        <w:ind w:left="480" w:right="480"/>
        <w:jc w:val="both"/>
      </w:pPr>
      <w:r>
        <w:rPr>
          <w:rFonts w:ascii="Georgia" w:cs="Georgia" w:eastAsia="Georgia" w:hAnsi="Georgia"/>
          <w:i/>
          <w:iCs/>
          <w:color w:val="8B6914"/>
          <w:sz w:val="21"/>
          <w:szCs w:val="21"/>
        </w:rPr>
        <w:t xml:space="preserve">« On demanda à Mālik : Comment S'est-Il établi ? Il dit : L'istiwāʾ est connu, la modalité est inconnue, y croire est obligatoire, et questionner sa modalité est une innovation. »</w:t>
      </w:r>
    </w:p>
    <w:p>
      <w:pPr>
        <w:spacing w:after="140" w:before="20"/>
        <w:ind w:right="480"/>
        <w:jc w:val="right"/>
      </w:pPr>
      <w:r>
        <w:rPr>
          <w:rFonts w:ascii="Georgia" w:cs="Georgia" w:eastAsia="Georgia" w:hAnsi="Georgia"/>
          <w:b/>
          <w:bCs/>
          <w:color w:val="8B6914"/>
          <w:sz w:val="19"/>
          <w:szCs w:val="19"/>
        </w:rPr>
        <w:t xml:space="preserve">— Imam Mālik ibn Anas — rapporté par al-Bayhaqī dans Al-Asmāʾ wal-Ṣifāt, et al-Lālakāʾī dans Sharḥ Uṣūl Iʿtiqād Ahl al-Sunna</w:t>
      </w:r>
    </w:p>
    <w:p>
      <w:pPr>
        <w:spacing w:after="160" w:before="80" w:line="360"/>
        <w:jc w:val="both"/>
      </w:pPr>
      <w:r>
        <w:rPr>
          <w:rFonts w:ascii="Georgia" w:cs="Georgia" w:eastAsia="Georgia" w:hAnsi="Georgia"/>
          <w:sz w:val="22"/>
          <w:szCs w:val="22"/>
        </w:rPr>
        <w:t xml:space="preserve">La réponse de l'imam Mālik est paradigmatique de la méthode des Salaf : affirmer le fond (al-istiwāʾ est réel), suspendre le jugement sur la modalité (bilā kayf), et refuser toute investigation sur ce qui dépasse la capacité humaine. Cette méthode s'oppose diamétralement à la démarche kalāmique qui part de prémisses philosophiques pour déterminer ce que le texte peut ou ne peut pas signifier.</w:t>
      </w:r>
    </w:p>
    <w:p>
      <w:pPr>
        <w:pBdr>
          <w:bottom w:val="single" w:color="B8860B" w:sz="4"/>
        </w:pBdr>
        <w:spacing w:after="240" w:before="240"/>
      </w:pPr>
      <w:r>
        <w:t xml:space="preserve"/>
      </w:r>
    </w:p>
    <w:p>
      <w:pPr>
        <w:pStyle w:val="Heading1"/>
        <w:spacing w:after="180" w:before="440"/>
      </w:pPr>
      <w:r>
        <w:rPr>
          <w:rFonts w:ascii="Georgia" w:cs="Georgia" w:eastAsia="Georgia" w:hAnsi="Georgia"/>
          <w:b/>
          <w:bCs/>
          <w:color w:val="1A4A2E"/>
          <w:sz w:val="32"/>
          <w:szCs w:val="32"/>
        </w:rPr>
        <w:t xml:space="preserve">II. La Cosmologie comme Condition de l'ʿUluww Littéral</w:t>
      </w:r>
    </w:p>
    <w:p>
      <w:pPr>
        <w:pStyle w:val="Heading2"/>
        <w:spacing w:after="140" w:before="300"/>
      </w:pPr>
      <w:r>
        <w:rPr>
          <w:rFonts w:ascii="Georgia" w:cs="Georgia" w:eastAsia="Georgia" w:hAnsi="Georgia"/>
          <w:b/>
          <w:bCs/>
          <w:color w:val="1F3864"/>
          <w:sz w:val="26"/>
          <w:szCs w:val="26"/>
        </w:rPr>
        <w:t xml:space="preserve">2.1 — Le haut absolu : condition nécessaire de l'ʿuluww réel</w:t>
      </w:r>
    </w:p>
    <w:p>
      <w:pPr>
        <w:spacing w:after="160" w:before="80" w:line="360"/>
        <w:jc w:val="both"/>
      </w:pPr>
      <w:r>
        <w:rPr>
          <w:rFonts w:ascii="Georgia" w:cs="Georgia" w:eastAsia="Georgia" w:hAnsi="Georgia"/>
          <w:sz w:val="22"/>
          <w:szCs w:val="22"/>
        </w:rPr>
        <w:t xml:space="preserve">Pour que l'ʿuluww d'Allah soit réel et littéral — et non métaphorique ou allégorique — il faut qu'existe une direction objective appelée « haut », c'est-à-dire une direction absolue non dépendante du point de vue de l'observateur. L'ʿuluww d'Allah au-dessus du Trône, et le Trône au-dessus des cieux, et les cieux au-dessus de la Terre — cette hiérarchie cosmologique présuppose qu'il y a un haut absolu dans la structure de l'univers.</w:t>
      </w:r>
    </w:p>
    <w:p>
      <w:pPr>
        <w:spacing w:after="160" w:before="80" w:line="360"/>
        <w:jc w:val="both"/>
      </w:pPr>
      <w:r>
        <w:rPr>
          <w:rFonts w:ascii="Georgia" w:cs="Georgia" w:eastAsia="Georgia" w:hAnsi="Georgia"/>
          <w:sz w:val="22"/>
          <w:szCs w:val="22"/>
        </w:rPr>
        <w:t xml:space="preserve">Le modèle de la terre étendue et des cieux superposés au-dessus d'elle — qui est le modèle décrit par le Coran et cohérent avec la vision du monde des Salaf — fournit précisément ce haut absolu. Le Trône est au-dessus de tout. Allah est au-dessus du Trône. La direction est univoque, constante et réelle.</w:t>
      </w:r>
    </w:p>
    <w:p>
      <w:pPr>
        <w:pStyle w:val="Heading2"/>
        <w:spacing w:after="140" w:before="300"/>
      </w:pPr>
      <w:r>
        <w:rPr>
          <w:rFonts w:ascii="Georgia" w:cs="Georgia" w:eastAsia="Georgia" w:hAnsi="Georgia"/>
          <w:b/>
          <w:bCs/>
          <w:color w:val="1F3864"/>
          <w:sz w:val="26"/>
          <w:szCs w:val="26"/>
        </w:rPr>
        <w:t xml:space="preserve">2.2 — Le modèle sphérique et sa rupture avec le haut absolu</w:t>
      </w:r>
    </w:p>
    <w:p>
      <w:pPr>
        <w:spacing w:after="160" w:before="80" w:line="360"/>
        <w:jc w:val="both"/>
      </w:pPr>
      <w:r>
        <w:rPr>
          <w:rFonts w:ascii="Georgia" w:cs="Georgia" w:eastAsia="Georgia" w:hAnsi="Georgia"/>
          <w:sz w:val="22"/>
          <w:szCs w:val="22"/>
        </w:rPr>
        <w:t xml:space="preserve">Le modèle globiste hérité de la philosophie aristotélicienne et ptoléméenne repose sur une sphéricité parfaite de la Terre et des cieux concentriques qui l'enveloppent. Dans ce modèle, il n'existe pas de « haut » absolu : chaque point de la sphère terrestre est le bas d'un point opposé, et les cieux entourent la Terre de toutes parts de manière égale.</w:t>
      </w:r>
    </w:p>
    <w:p>
      <w:pPr>
        <w:spacing w:after="160" w:before="80" w:line="360"/>
        <w:jc w:val="both"/>
      </w:pPr>
      <w:r>
        <w:rPr>
          <w:rFonts w:ascii="Georgia" w:cs="Georgia" w:eastAsia="Georgia" w:hAnsi="Georgia"/>
          <w:sz w:val="22"/>
          <w:szCs w:val="22"/>
        </w:rPr>
        <w:t xml:space="preserve">Cette configuration génère automatiquement un problème théologique : si chaque habitant de la Terre « lève les yeux » vers son propre ciel, il pointe dans une direction différente — et parfois opposée — à son voisin de l'autre côté du globe. Le « haut » devient relatif, local, dépendant de la position de l'observateur. L'ʿuluww littéral perd sa cohérence spatiale.</w:t>
      </w:r>
    </w:p>
    <w:p>
      <w:pPr>
        <w:pStyle w:val="Heading2"/>
        <w:spacing w:after="140" w:before="300"/>
      </w:pPr>
      <w:r>
        <w:rPr>
          <w:rFonts w:ascii="Georgia" w:cs="Georgia" w:eastAsia="Georgia" w:hAnsi="Georgia"/>
          <w:b/>
          <w:bCs/>
          <w:color w:val="1F3864"/>
          <w:sz w:val="26"/>
          <w:szCs w:val="26"/>
        </w:rPr>
        <w:t xml:space="preserve">2.3 — Les deux solutions proposées par les théologiens globistes</w:t>
      </w:r>
    </w:p>
    <w:p>
      <w:pPr>
        <w:spacing w:after="160" w:before="80" w:line="360"/>
        <w:jc w:val="both"/>
      </w:pPr>
      <w:r>
        <w:rPr>
          <w:rFonts w:ascii="Georgia" w:cs="Georgia" w:eastAsia="Georgia" w:hAnsi="Georgia"/>
          <w:sz w:val="22"/>
          <w:szCs w:val="22"/>
        </w:rPr>
        <w:t xml:space="preserve">Face à ce problème, deux grandes solutions ont été proposées dans l'histoire de la théologie islamique par ceux qui avaient accepté le modèle sphérique.</w:t>
      </w:r>
    </w:p>
    <w:p>
      <w:pPr>
        <w:spacing w:after="160" w:before="80" w:line="360"/>
        <w:jc w:val="both"/>
      </w:pPr>
      <w:r>
        <w:rPr>
          <w:rFonts w:ascii="Georgia" w:cs="Georgia" w:eastAsia="Georgia" w:hAnsi="Georgia"/>
          <w:sz w:val="22"/>
          <w:szCs w:val="22"/>
        </w:rPr>
        <w:t xml:space="preserve">Première solution — Le fawq muṭlaq (haut absolu) vs fawq muqayyad (haut relatif) : certains mutakallimūn ont tenté de sauver l'ʿuluww en introduisant une distinction entre le haut relatif (dépendant de la position de l'observateur) et le haut absolu (au-dessus de l'ensemble de l'univers créé, indépendamment de sa géométrie interne). Ils affirmaient qu'Allah est au-dessus en ce sens absolu. Cette solution préserve l'intention sunnite mais est instable : elle maintient la conclusion (l'ʿuluww est réel) sur des fondements cosmologiques incompatibles avec elle.</w:t>
      </w:r>
    </w:p>
    <w:p>
      <w:pPr>
        <w:spacing w:after="160" w:before="80" w:line="360"/>
        <w:jc w:val="both"/>
      </w:pPr>
      <w:r>
        <w:rPr>
          <w:rFonts w:ascii="Georgia" w:cs="Georgia" w:eastAsia="Georgia" w:hAnsi="Georgia"/>
          <w:sz w:val="22"/>
          <w:szCs w:val="22"/>
        </w:rPr>
        <w:t xml:space="preserve">Deuxième solution — L'enveloppement : d'autres, particulièrement influencés par le modèle ptoléméen des sphères célestes concentriques, ont abouti à un schéma où Allah se trouve à l'extérieur de la dernière sphère (la 9e sphère du cosmos ptoléméen, identifiée au Trône). Dans ce schéma, Allah entoure la création depuis l'extérieur. La création est spatialement à l'intérieur de la zone qu'Il occupe.</w:t>
      </w:r>
    </w:p>
    <w:p>
      <w:pPr>
        <w:pStyle w:val="Heading2"/>
        <w:spacing w:after="140" w:before="300"/>
      </w:pPr>
      <w:r>
        <w:rPr>
          <w:rFonts w:ascii="Georgia" w:cs="Georgia" w:eastAsia="Georgia" w:hAnsi="Georgia"/>
          <w:b/>
          <w:bCs/>
          <w:color w:val="1F3864"/>
          <w:sz w:val="26"/>
          <w:szCs w:val="26"/>
        </w:rPr>
        <w:t xml:space="preserve">2.4 — Le panenthéisme structurel : une erreur malgré une intention sunnite</w:t>
      </w:r>
    </w:p>
    <w:p>
      <w:pPr>
        <w:spacing w:after="160" w:before="80" w:line="360"/>
        <w:jc w:val="both"/>
      </w:pPr>
      <w:r>
        <w:rPr>
          <w:rFonts w:ascii="Georgia" w:cs="Georgia" w:eastAsia="Georgia" w:hAnsi="Georgia"/>
          <w:sz w:val="22"/>
          <w:szCs w:val="22"/>
        </w:rPr>
        <w:t xml:space="preserve">Le schéma de l'enveloppement soulève une difficulté théologique majeure que les mutakallimūn ont parfois masquée derrière le concept de mukhālafa (dissemblance d'Allah par rapport à Sa création). Ils affirmaient : « Allah enveloppe la création sans Se mélanger à elle. Son Essence ne se mélange pas (lā takhtalit) avec la création — Il lui est donc distinct. »</w:t>
      </w:r>
    </w:p>
    <w:p>
      <w:pPr>
        <w:spacing w:after="160" w:before="80" w:line="360"/>
        <w:jc w:val="both"/>
      </w:pPr>
      <w:r>
        <w:rPr>
          <w:rFonts w:ascii="Georgia" w:cs="Georgia" w:eastAsia="Georgia" w:hAnsi="Georgia"/>
          <w:sz w:val="22"/>
          <w:szCs w:val="22"/>
        </w:rPr>
        <w:t xml:space="preserve">Cette défense conceptuelle est insuffisante. La distinction entre « Allah enveloppe sans Se mélanger » et « la création est à l'intérieur d'Allah » n'efface pas le problème structurel : si la création est spatialement contenue dans l'espace qu'Allah occupe, alors la relation entre le Créateur et le créé est celle du contenant et du contenu — ce qui est structurellement analogue au panenthéisme, quelle que soit l'intention doctrinale.</w:t>
      </w:r>
    </w:p>
    <w:p>
      <w:pPr>
        <w:spacing w:after="160" w:before="80" w:line="360"/>
        <w:jc w:val="both"/>
      </w:pPr>
      <w:r>
        <w:rPr>
          <w:rFonts w:ascii="Georgia" w:cs="Georgia" w:eastAsia="Georgia" w:hAnsi="Georgia"/>
          <w:sz w:val="22"/>
          <w:szCs w:val="22"/>
        </w:rPr>
        <w:t xml:space="preserve">Il est important de souligner que qualifier ce schéma de panenthéisme structurel ne revient pas à accuser ses partisans de panenthéisme intentionnel. Leur intention était de préserver la transcendance divine. Mais la logique de leur cosmologie les y conduisait malgré eux — ce qui illustre pourquoi l'adoption de prémisses philosophiques étrangères génère inévitablement des conséquences doctrinales non voulues.</w:t>
      </w:r>
    </w:p>
    <w:p>
      <w:pPr>
        <w:pStyle w:val="Heading2"/>
        <w:spacing w:after="140" w:before="300"/>
      </w:pPr>
      <w:r>
        <w:rPr>
          <w:rFonts w:ascii="Georgia" w:cs="Georgia" w:eastAsia="Georgia" w:hAnsi="Georgia"/>
          <w:b/>
          <w:bCs/>
          <w:color w:val="1F3864"/>
          <w:sz w:val="26"/>
          <w:szCs w:val="26"/>
        </w:rPr>
        <w:t xml:space="preserve">2.5 — L'atomisme kalāmique : la cause profonde de l'effacement du ḥadd</w:t>
      </w:r>
    </w:p>
    <w:p>
      <w:pPr>
        <w:spacing w:after="160" w:before="80" w:line="360"/>
        <w:jc w:val="both"/>
      </w:pPr>
      <w:r>
        <w:rPr>
          <w:rFonts w:ascii="Georgia" w:cs="Georgia" w:eastAsia="Georgia" w:hAnsi="Georgia"/>
          <w:sz w:val="22"/>
          <w:szCs w:val="22"/>
        </w:rPr>
        <w:t xml:space="preserve">Pour comprendre comment des théologiens musulmans en sont arrivés à effacer la frontière (ḥadd) entre Allah et Sa création, il faut examiner les fondements de la physique kalāmique. Les mutakallimūn — en particulier les Muʿtazila et certains Ashārites — ont fondé leur physique sur un atomisme créationniste : la matière est composée d'atomes indivisibles (jawāhir al-fard) perpétuellement recréés par Allah à chaque instant.</w:t>
      </w:r>
    </w:p>
    <w:p>
      <w:pPr>
        <w:spacing w:after="160" w:before="80" w:line="360"/>
        <w:jc w:val="both"/>
      </w:pPr>
      <w:r>
        <w:rPr>
          <w:rFonts w:ascii="Georgia" w:cs="Georgia" w:eastAsia="Georgia" w:hAnsi="Georgia"/>
          <w:sz w:val="22"/>
          <w:szCs w:val="22"/>
        </w:rPr>
        <w:t xml:space="preserve">Dans cette physique, les atomes remplissent tout l'espace de la création de manière continue et potentiellement infinie. Cette architecture rend le ḥadd (la frontière entre Allah et Sa création) structurellement problématique : si les atomes sont infinis et remplissent tout l'espace, poser une frontière — le Trône — au-delà de laquelle se trouve Allah revient à « localiser » Allah dans une zone déterminée, ce que les mutakallimūn refusaient au nom de leur concept de tanzīh (transcendance).</w:t>
      </w:r>
    </w:p>
    <w:p>
      <w:pPr>
        <w:spacing w:after="160" w:before="80" w:line="360"/>
        <w:jc w:val="both"/>
      </w:pPr>
      <w:r>
        <w:rPr>
          <w:rFonts w:ascii="Georgia" w:cs="Georgia" w:eastAsia="Georgia" w:hAnsi="Georgia"/>
          <w:sz w:val="22"/>
          <w:szCs w:val="22"/>
        </w:rPr>
        <w:t xml:space="preserve">La conséquence logique fut la réinterprétation du Trône : non plus comme une créature distincte servant de frontière réelle entre le Créateur et le créé, mais comme une sifat (attribut) d'Allah lui-même, voire comme la 9e sphère céleste du cosmos ptoléméen identifiée à l'enceinte suprême de l'univers. Et si le Trône est Allah lui-même ou un attribut de Sa grandeur, alors Allah est partout — le ḥadd a disparu.</w:t>
      </w:r>
    </w:p>
    <w:p>
      <w:pPr>
        <w:pBdr>
          <w:bottom w:val="single" w:color="B8860B" w:sz="4"/>
        </w:pBdr>
        <w:spacing w:after="240" w:before="240"/>
      </w:pPr>
      <w:r>
        <w:t xml:space="preserve"/>
      </w:r>
    </w:p>
    <w:p>
      <w:pPr>
        <w:pStyle w:val="Heading1"/>
        <w:spacing w:after="180" w:before="440"/>
      </w:pPr>
      <w:r>
        <w:rPr>
          <w:rFonts w:ascii="Georgia" w:cs="Georgia" w:eastAsia="Georgia" w:hAnsi="Georgia"/>
          <w:b/>
          <w:bCs/>
          <w:color w:val="1A4A2E"/>
          <w:sz w:val="32"/>
          <w:szCs w:val="32"/>
        </w:rPr>
        <w:t xml:space="preserve">III. Taxonomie des Courants Kalāmiques face à l'ʿUluww</w:t>
      </w:r>
    </w:p>
    <w:p>
      <w:pPr>
        <w:spacing w:after="160" w:before="80" w:line="360"/>
        <w:jc w:val="both"/>
      </w:pPr>
      <w:r>
        <w:rPr>
          <w:rFonts w:ascii="Georgia" w:cs="Georgia" w:eastAsia="Georgia" w:hAnsi="Georgia"/>
          <w:sz w:val="22"/>
          <w:szCs w:val="22"/>
        </w:rPr>
        <w:t xml:space="preserve">Il serait à la fois injuste et méthodologiquement incorrect de placer tous les théologiens ayant accepté le modèle globiste dans la même catégorie doctrinale. La rigueur de la méthode des Salaf exige de distinguer les positions selon la gravité de l'abandon des fondements sunnites. Le tableau suivant présente cette taxonomie graduée.</w:t>
      </w:r>
    </w:p>
    <w:p>
      <w:pPr>
        <w:spacing w:after="1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00"/>
            <w:tcBorders>
              <w:top w:val="single" w:color="1A4A2E" w:sz="1"/>
              <w:left w:val="single" w:color="1A4A2E" w:sz="1"/>
              <w:bottom w:val="single" w:color="1A4A2E" w:sz="1"/>
              <w:right w:val="single" w:color="1A4A2E" w:sz="1"/>
            </w:tcBorders>
            <w:shd w:fill="1A4A2E"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Courant</w:t>
            </w:r>
          </w:p>
        </w:tc>
        <w:tc>
          <w:tcPr>
            <w:tcW w:type="dxa" w:w="2200"/>
            <w:tcBorders>
              <w:top w:val="single" w:color="1A4A2E" w:sz="1"/>
              <w:left w:val="single" w:color="1A4A2E" w:sz="1"/>
              <w:bottom w:val="single" w:color="1A4A2E" w:sz="1"/>
              <w:right w:val="single" w:color="1A4A2E" w:sz="1"/>
            </w:tcBorders>
            <w:shd w:fill="1A4A2E"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Position cosmologique</w:t>
            </w:r>
          </w:p>
        </w:tc>
        <w:tc>
          <w:tcPr>
            <w:tcW w:type="dxa" w:w="1800"/>
            <w:tcBorders>
              <w:top w:val="single" w:color="1A4A2E" w:sz="1"/>
              <w:left w:val="single" w:color="1A4A2E" w:sz="1"/>
              <w:bottom w:val="single" w:color="1A4A2E" w:sz="1"/>
              <w:right w:val="single" w:color="1A4A2E" w:sz="1"/>
            </w:tcBorders>
            <w:shd w:fill="1A4A2E"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Essence d'Allah</w:t>
            </w:r>
          </w:p>
        </w:tc>
        <w:tc>
          <w:tcPr>
            <w:tcW w:type="dxa" w:w="1600"/>
            <w:tcBorders>
              <w:top w:val="single" w:color="1A4A2E" w:sz="1"/>
              <w:left w:val="single" w:color="1A4A2E" w:sz="1"/>
              <w:bottom w:val="single" w:color="1A4A2E" w:sz="1"/>
              <w:right w:val="single" w:color="1A4A2E" w:sz="1"/>
            </w:tcBorders>
            <w:shd w:fill="1A4A2E"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Hadd (limite)</w:t>
            </w:r>
          </w:p>
        </w:tc>
        <w:tc>
          <w:tcPr>
            <w:tcW w:type="dxa" w:w="1700"/>
            <w:tcBorders>
              <w:top w:val="single" w:color="1A4A2E" w:sz="1"/>
              <w:left w:val="single" w:color="1A4A2E" w:sz="1"/>
              <w:bottom w:val="single" w:color="1A4A2E" w:sz="1"/>
              <w:right w:val="single" w:color="1A4A2E" w:sz="1"/>
            </w:tcBorders>
            <w:shd w:fill="1A4A2E" w:val="clear"/>
            <w:tcMar>
              <w:top w:type="dxa" w:w="80"/>
              <w:left w:type="dxa" w:w="120"/>
              <w:bottom w:type="dxa" w:w="80"/>
              <w:right w:type="dxa" w:w="120"/>
            </w:tcMar>
          </w:tcPr>
          <w:p>
            <w:pPr>
              <w:jc w:val="center"/>
            </w:pPr>
            <w:r>
              <w:rPr>
                <w:rFonts w:ascii="Georgia" w:cs="Georgia" w:eastAsia="Georgia" w:hAnsi="Georgia"/>
                <w:b/>
                <w:bCs/>
                <w:color w:val="FFFFFF"/>
                <w:sz w:val="18"/>
                <w:szCs w:val="18"/>
              </w:rPr>
              <w:t xml:space="preserve">Statut</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Jahmiyya &amp; Muʿtazila extrêmes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Globe aristotélicien intégral — aucun haut absolu</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Abstrait, non-localisé, non-mawjūd spatialement</w:t>
            </w:r>
          </w:p>
        </w:tc>
        <w:tc>
          <w:tcPr>
            <w:tcW w:type="dxa" w:w="17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Nié — aucune frontière entre Allah et Sa création</w:t>
            </w:r>
          </w:p>
        </w:tc>
        <w:tc>
          <w:tcPr>
            <w:tcW w:type="dxa" w:w="170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pPr>
              <w:jc w:val="both"/>
            </w:pPr>
            <w:r>
              <w:rPr>
                <w:rFonts w:ascii="Georgia" w:cs="Georgia" w:eastAsia="Georgia" w:hAnsi="Georgia"/>
                <w:b/>
                <w:bCs/>
                <w:color w:val="C00000"/>
                <w:sz w:val="18"/>
                <w:szCs w:val="18"/>
              </w:rPr>
              <w:t xml:space="preserve">KUFFR</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Ashārites tardifs à cosmologie sphérique (9e sphère = Arsh)</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Globe ptoléméen — Allah enveloppe la création de l'extérieur</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Essence admise mais enveloppante</w:t>
            </w:r>
          </w:p>
        </w:tc>
        <w:tc>
          <w:tcPr>
            <w:tcW w:type="dxa" w:w="17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Effacé — le Trône devient sifat d'Allah, non une créature séparée</w:t>
            </w:r>
          </w:p>
        </w:tc>
        <w:tc>
          <w:tcPr>
            <w:tcW w:type="dxa" w:w="1700"/>
            <w:tcBorders>
              <w:top w:val="single" w:color="AAAAAA" w:sz="1"/>
              <w:left w:val="single" w:color="AAAAAA" w:sz="1"/>
              <w:bottom w:val="single" w:color="AAAAAA" w:sz="1"/>
              <w:right w:val="single" w:color="AAAAAA" w:sz="1"/>
            </w:tcBorders>
            <w:shd w:fill="FFF3E0" w:val="clear"/>
            <w:tcMar>
              <w:top w:type="dxa" w:w="80"/>
              <w:left w:type="dxa" w:w="120"/>
              <w:bottom w:type="dxa" w:w="80"/>
              <w:right w:type="dxa" w:w="120"/>
            </w:tcMar>
          </w:tcPr>
          <w:p>
            <w:pPr>
              <w:jc w:val="both"/>
            </w:pPr>
            <w:r>
              <w:rPr>
                <w:rFonts w:ascii="Georgia" w:cs="Georgia" w:eastAsia="Georgia" w:hAnsi="Georgia"/>
                <w:b/>
                <w:bCs/>
                <w:color w:val="7B3F00"/>
                <w:sz w:val="18"/>
                <w:szCs w:val="18"/>
              </w:rPr>
              <w:t xml:space="preserve">DÉVIANCE GRAVE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Mutakallimūn proches de la Sunna (Ashārites modérés, Māturīdites)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Globe — ʿuluww maintenu par distinction fawq muṭlaq / fawq muqayyad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Essence physique, transcendante, distincte</w:t>
            </w:r>
          </w:p>
        </w:tc>
        <w:tc>
          <w:tcPr>
            <w:tcW w:type="dxa" w:w="1700"/>
            <w:tcBorders>
              <w:top w:val="single" w:color="AAAAAA" w:sz="1"/>
              <w:left w:val="single" w:color="AAAAAA" w:sz="1"/>
              <w:bottom w:val="single" w:color="AAAAAA" w:sz="1"/>
              <w:right w:val="single" w:color="AAAAAA" w:sz="1"/>
            </w:tcBorders>
            <w:shd w:fill="FFFBEA"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Maintenu en principe mais fragilisé cosmologiquement</w:t>
            </w:r>
          </w:p>
        </w:tc>
        <w:tc>
          <w:tcPr>
            <w:tcW w:type="dxa" w:w="1700"/>
            <w:tcBorders>
              <w:top w:val="single" w:color="AAAAAA" w:sz="1"/>
              <w:left w:val="single" w:color="AAAAAA" w:sz="1"/>
              <w:bottom w:val="single" w:color="AAAAAA" w:sz="1"/>
              <w:right w:val="single" w:color="AAAAAA" w:sz="1"/>
            </w:tcBorders>
            <w:shd w:fill="FFFBEA" w:val="clear"/>
            <w:tcMar>
              <w:top w:type="dxa" w:w="80"/>
              <w:left w:type="dxa" w:w="120"/>
              <w:bottom w:type="dxa" w:w="80"/>
              <w:right w:type="dxa" w:w="120"/>
            </w:tcMar>
          </w:tcPr>
          <w:p>
            <w:pPr>
              <w:jc w:val="both"/>
            </w:pPr>
            <w:r>
              <w:rPr>
                <w:rFonts w:ascii="Georgia" w:cs="Georgia" w:eastAsia="Georgia" w:hAnsi="Georgia"/>
                <w:b/>
                <w:bCs/>
                <w:color w:val="7B5000"/>
                <w:sz w:val="18"/>
                <w:szCs w:val="18"/>
              </w:rPr>
              <w:t xml:space="preserve">DÉVIANCE PARTIELLE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Atharīs acceptant la sphéricité terrestre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Globe — mais ʿuluww littéral affirmé ; modalité inconnue (bilā kayf)</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Physique, distincte, au-dessus du Trône</w:t>
            </w:r>
          </w:p>
        </w:tc>
        <w:tc>
          <w:tcPr>
            <w:tcW w:type="dxa" w:w="17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Arsh = frontière réelle, même si géométrie inexpliquée</w:t>
            </w:r>
          </w:p>
        </w:tc>
        <w:tc>
          <w:tcPr>
            <w:tcW w:type="dxa" w:w="1700"/>
            <w:tcBorders>
              <w:top w:val="single" w:color="AAAAAA" w:sz="1"/>
              <w:left w:val="single" w:color="AAAAAA" w:sz="1"/>
              <w:bottom w:val="single" w:color="AAAAAA" w:sz="1"/>
              <w:right w:val="single" w:color="AAAAAA" w:sz="1"/>
            </w:tcBorders>
            <w:shd w:fill="F0F7F0" w:val="clear"/>
            <w:tcMar>
              <w:top w:type="dxa" w:w="80"/>
              <w:left w:type="dxa" w:w="120"/>
              <w:bottom w:type="dxa" w:w="80"/>
              <w:right w:type="dxa" w:w="120"/>
            </w:tcMar>
          </w:tcPr>
          <w:p>
            <w:pPr>
              <w:jc w:val="both"/>
            </w:pPr>
            <w:r>
              <w:rPr>
                <w:rFonts w:ascii="Georgia" w:cs="Georgia" w:eastAsia="Georgia" w:hAnsi="Georgia"/>
                <w:b w:val="false"/>
                <w:bCs w:val="false"/>
                <w:color w:val="1A5C1A"/>
                <w:sz w:val="18"/>
                <w:szCs w:val="18"/>
              </w:rPr>
              <w:t xml:space="preserve">ACCEPTABLE AVEC RÉSERVE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Atharīs — Manhaj al-Salaf — cosmologie coranique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Terre étendue, cieux superposés — haut absolu cohérent avec l'istiwāʾ littéral</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Essence physique, élevée, séparée et distincte de la création</w:t>
            </w:r>
          </w:p>
        </w:tc>
        <w:tc>
          <w:tcPr>
            <w:tcW w:type="dxa" w:w="1700"/>
            <w:tcBorders>
              <w:top w:val="single" w:color="AAAAAA" w:sz="1"/>
              <w:left w:val="single" w:color="AAAAAA" w:sz="1"/>
              <w:bottom w:val="single" w:color="AAAAAA" w:sz="1"/>
              <w:right w:val="single" w:color="AAAAAA" w:sz="1"/>
            </w:tcBorders>
            <w:shd w:fill="EAF4EA" w:val="clear"/>
            <w:tcMar>
              <w:top w:type="dxa" w:w="80"/>
              <w:left w:type="dxa" w:w="120"/>
              <w:bottom w:type="dxa" w:w="80"/>
              <w:right w:type="dxa" w:w="120"/>
            </w:tcMar>
          </w:tcPr>
          <w:p>
            <w:pPr>
              <w:jc w:val="both"/>
            </w:pPr>
            <w:r>
              <w:rPr>
                <w:rFonts w:ascii="Georgia" w:cs="Georgia" w:eastAsia="Georgia" w:hAnsi="Georgia"/>
                <w:b w:val="false"/>
                <w:bCs w:val="false"/>
                <w:color w:val="222222"/>
                <w:sz w:val="18"/>
                <w:szCs w:val="18"/>
              </w:rPr>
              <w:t xml:space="preserve">Arsh = frontière créée réelle entre le Créateur et le créé</w:t>
            </w:r>
          </w:p>
        </w:tc>
        <w:tc>
          <w:tcPr>
            <w:tcW w:type="dxa" w:w="1700"/>
            <w:tcBorders>
              <w:top w:val="single" w:color="AAAAAA" w:sz="1"/>
              <w:left w:val="single" w:color="AAAAAA" w:sz="1"/>
              <w:bottom w:val="single" w:color="AAAAAA" w:sz="1"/>
              <w:right w:val="single" w:color="AAAAAA" w:sz="1"/>
            </w:tcBorders>
            <w:shd w:fill="EAF4EA" w:val="clear"/>
            <w:tcMar>
              <w:top w:type="dxa" w:w="80"/>
              <w:left w:type="dxa" w:w="120"/>
              <w:bottom w:type="dxa" w:w="80"/>
              <w:right w:type="dxa" w:w="120"/>
            </w:tcMar>
          </w:tcPr>
          <w:p>
            <w:pPr>
              <w:jc w:val="both"/>
            </w:pPr>
            <w:r>
              <w:rPr>
                <w:rFonts w:ascii="Georgia" w:cs="Georgia" w:eastAsia="Georgia" w:hAnsi="Georgia"/>
                <w:b/>
                <w:bCs/>
                <w:color w:val="1A5C1A"/>
                <w:sz w:val="18"/>
                <w:szCs w:val="18"/>
              </w:rPr>
              <w:t xml:space="preserve">CONFORME À LA SUNNA</w:t>
            </w:r>
          </w:p>
        </w:tc>
      </w:tr>
    </w:tbl>
    <w:p>
      <w:pPr>
        <w:spacing w:after="160" w:before="0"/>
      </w:pPr>
    </w:p>
    <w:p>
      <w:pPr>
        <w:pStyle w:val="Heading2"/>
        <w:spacing w:after="140" w:before="300"/>
      </w:pPr>
      <w:r>
        <w:rPr>
          <w:rFonts w:ascii="Georgia" w:cs="Georgia" w:eastAsia="Georgia" w:hAnsi="Georgia"/>
          <w:b/>
          <w:bCs/>
          <w:color w:val="1F3864"/>
          <w:sz w:val="26"/>
          <w:szCs w:val="26"/>
        </w:rPr>
        <w:t xml:space="preserve">3.1 — Le kuffr doctrinal : la négation de l'essence et de l'ʿuluww</w:t>
      </w:r>
    </w:p>
    <w:p>
      <w:pPr>
        <w:spacing w:after="160" w:before="80" w:line="360"/>
        <w:jc w:val="both"/>
      </w:pPr>
      <w:r>
        <w:rPr>
          <w:rFonts w:ascii="Georgia" w:cs="Georgia" w:eastAsia="Georgia" w:hAnsi="Georgia"/>
          <w:sz w:val="22"/>
          <w:szCs w:val="22"/>
        </w:rPr>
        <w:t xml:space="preserve">Le premier groupe est celui qui a suivi les prémisses de la philosophie grecque jusqu'à leur terme logique. Pour ces théologiens, la cosmologie aristotélicienne — qui nie toute direction absolue et place la divinité comme un intellect abstrait non-localisé — constitue une donnée indiscutable. Le résultat fut double : la négation de l'essence physique d'Allah (les Jahmiyya et la branche extrême des Muʿtazila allant jusqu'à la tanfiyya al-mawjūdiyya — la négation de l'existence réelle) et la négation de tout attribut rattaché à une direction.</w:t>
      </w:r>
    </w:p>
    <w:p>
      <w:pPr>
        <w:spacing w:after="40" w:before="160"/>
        <w:jc w:val="right"/>
      </w:pPr>
      <w:r>
        <w:rPr>
          <w:rFonts w:ascii="Amiri" w:cs="Amiri" w:eastAsia="Amiri" w:hAnsi="Amiri"/>
          <w:color w:val="8B6914"/>
          <w:sz w:val="24"/>
          <w:szCs w:val="24"/>
        </w:rPr>
        <w:t xml:space="preserve">مَنْ نَفَى الْعُلُوَّ وَالْفَوْقِيَّةَ عَنِ اللهِ فَهُوَ مُعَطِّلٌ لِلهِ</w:t>
      </w:r>
    </w:p>
    <w:p>
      <w:pPr>
        <w:spacing w:after="40" w:before="0"/>
        <w:jc w:val="center"/>
      </w:pPr>
      <w:r>
        <w:rPr>
          <w:rFonts w:ascii="Georgia" w:cs="Georgia" w:eastAsia="Georgia" w:hAnsi="Georgia"/>
          <w:i/>
          <w:iCs/>
          <w:color w:val="8B6914"/>
          <w:sz w:val="19"/>
          <w:szCs w:val="19"/>
        </w:rPr>
        <w:t xml:space="preserve">Man nafā al-ʿuluwwa wa al-fawqiyya ʿan Allāh fa-huwa muʿaṭṭilun li-Allāh</w:t>
      </w:r>
    </w:p>
    <w:p>
      <w:pPr>
        <w:pBdr>
          <w:left w:val="thick" w:color="B8860B" w:sz="8"/>
        </w:pBdr>
        <w:shd w:fill="FDFAF2" w:val="clear"/>
        <w:spacing w:after="40" w:before="40"/>
        <w:ind w:left="480" w:right="480"/>
        <w:jc w:val="both"/>
      </w:pPr>
      <w:r>
        <w:rPr>
          <w:rFonts w:ascii="Georgia" w:cs="Georgia" w:eastAsia="Georgia" w:hAnsi="Georgia"/>
          <w:i/>
          <w:iCs/>
          <w:color w:val="8B6914"/>
          <w:sz w:val="21"/>
          <w:szCs w:val="21"/>
        </w:rPr>
        <w:t xml:space="preserve">« Celui qui nie l'élévation et la dessus d'Allah est celui qui dépouille Allah de Ses attributs. »</w:t>
      </w:r>
    </w:p>
    <w:p>
      <w:pPr>
        <w:spacing w:after="140" w:before="20"/>
        <w:ind w:right="480"/>
        <w:jc w:val="right"/>
      </w:pPr>
      <w:r>
        <w:rPr>
          <w:rFonts w:ascii="Georgia" w:cs="Georgia" w:eastAsia="Georgia" w:hAnsi="Georgia"/>
          <w:b/>
          <w:bCs/>
          <w:color w:val="8B6914"/>
          <w:sz w:val="19"/>
          <w:szCs w:val="19"/>
        </w:rPr>
        <w:t xml:space="preserve">— Ibn Taymiyya, Majmūʿ al-Fatāwā, vol. 5, p. 521</w:t>
      </w:r>
    </w:p>
    <w:p>
      <w:pPr>
        <w:spacing w:after="160" w:before="80" w:line="360"/>
        <w:jc w:val="both"/>
      </w:pPr>
      <w:r>
        <w:rPr>
          <w:rFonts w:ascii="Georgia" w:cs="Georgia" w:eastAsia="Georgia" w:hAnsi="Georgia"/>
          <w:sz w:val="22"/>
          <w:szCs w:val="22"/>
        </w:rPr>
        <w:t xml:space="preserve">Ibn Taymiyya (rahimahullāh) a longuement documenté dans le Darʾ Taʿāruḍ al-ʿAql wal-Naql comment ce courant aboutit inévitablement au taʿṭīl (dépouillement divin), en vidant les noms et attributs d'Allah de tout contenu réel sous prétexte de tanzīh.</w:t>
      </w:r>
    </w:p>
    <w:p>
      <w:pPr>
        <w:pStyle w:val="Heading2"/>
        <w:spacing w:after="140" w:before="300"/>
      </w:pPr>
      <w:r>
        <w:rPr>
          <w:rFonts w:ascii="Georgia" w:cs="Georgia" w:eastAsia="Georgia" w:hAnsi="Georgia"/>
          <w:b/>
          <w:bCs/>
          <w:color w:val="1F3864"/>
          <w:sz w:val="26"/>
          <w:szCs w:val="26"/>
        </w:rPr>
        <w:t xml:space="preserve">3.2 — Le panenthéisme structurel involontaire</w:t>
      </w:r>
    </w:p>
    <w:p>
      <w:pPr>
        <w:spacing w:after="160" w:before="80" w:line="360"/>
        <w:jc w:val="both"/>
      </w:pPr>
      <w:r>
        <w:rPr>
          <w:rFonts w:ascii="Georgia" w:cs="Georgia" w:eastAsia="Georgia" w:hAnsi="Georgia"/>
          <w:sz w:val="22"/>
          <w:szCs w:val="22"/>
        </w:rPr>
        <w:t xml:space="preserve">Un second groupe a admis l'essence d'Allah mais a adopté le modèle des sphères ptoléméennes jusqu'à faire du Trône la 9e sphère et d'Allah l'entité enveloppante extérieure à tout l'univers. Comme exposé plus haut, leur modèle spatial est structurellement celui du panenthéisme, même si leur intention était de maintenir la transcendance divine.</w:t>
      </w:r>
    </w:p>
    <w:p>
      <w:pPr>
        <w:spacing w:after="160" w:before="80" w:line="360"/>
        <w:jc w:val="both"/>
      </w:pPr>
      <w:r>
        <w:rPr>
          <w:rFonts w:ascii="Georgia" w:cs="Georgia" w:eastAsia="Georgia" w:hAnsi="Georgia"/>
          <w:sz w:val="22"/>
          <w:szCs w:val="22"/>
        </w:rPr>
        <w:t xml:space="preserve">La gravité de cette position tient au fait qu'elle efface le ḥadd entre Allah et Sa création — ce ḥadd que les Salaf considéraient comme une donnée révélée essentielle. Sans ḥadd, la création est à l'intérieur de la zone divine, et la distinction Créateur/créé perd sa clarté ontologique.</w:t>
      </w:r>
    </w:p>
    <w:p>
      <w:pPr>
        <w:pStyle w:val="Heading2"/>
        <w:spacing w:after="140" w:before="300"/>
      </w:pPr>
      <w:r>
        <w:rPr>
          <w:rFonts w:ascii="Georgia" w:cs="Georgia" w:eastAsia="Georgia" w:hAnsi="Georgia"/>
          <w:b/>
          <w:bCs/>
          <w:color w:val="1F3864"/>
          <w:sz w:val="26"/>
          <w:szCs w:val="26"/>
        </w:rPr>
        <w:t xml:space="preserve">3.3 — Les mutakallimūn proches de la Sunna : une déviance partielle</w:t>
      </w:r>
    </w:p>
    <w:p>
      <w:pPr>
        <w:spacing w:after="160" w:before="80" w:line="360"/>
        <w:jc w:val="both"/>
      </w:pPr>
      <w:r>
        <w:rPr>
          <w:rFonts w:ascii="Georgia" w:cs="Georgia" w:eastAsia="Georgia" w:hAnsi="Georgia"/>
          <w:sz w:val="22"/>
          <w:szCs w:val="22"/>
        </w:rPr>
        <w:t xml:space="preserve">Ce troisième groupe est celui qui a voulu conserver les principes sunnites fondamentaux — affirmation de l'essence physique d'Allah, de Sa distinction réelle d'avec la création, de Son ʿuluww réel, de la réalité du Trône comme frontière — tout en concédant la sphéricité terrestre héritée de la philosophie grecque. Pour maintenir la cohérence, ils ont introduit la distinction entre fawq muṭlaq et fawq muqayyad.</w:t>
      </w:r>
    </w:p>
    <w:p>
      <w:pPr>
        <w:spacing w:after="160" w:before="80" w:line="360"/>
        <w:jc w:val="both"/>
      </w:pPr>
      <w:r>
        <w:rPr>
          <w:rFonts w:ascii="Georgia" w:cs="Georgia" w:eastAsia="Georgia" w:hAnsi="Georgia"/>
          <w:sz w:val="22"/>
          <w:szCs w:val="22"/>
        </w:rPr>
        <w:t xml:space="preserve">Ce qui les distingue fondamentalement des groupes précédents est décisif : ils n'ont pas refusé la réalité finale de l'ʿuluww au profit de la théorie physique. Ils ont maintenu l'affirmation de l'ʿuluww réel comme donnée révélée inaliénable, même en ignorant comment cela s'articule avec leur cosmologie. C'est cette préservation de l'aveu coranique comme primauté épistémologique qui les rapproche de la Sunna, malgré la faiblesse de leurs fondements cosmologiques.</w:t>
      </w:r>
    </w:p>
    <w:p>
      <w:pPr>
        <w:pStyle w:val="Heading2"/>
        <w:spacing w:after="140" w:before="300"/>
      </w:pPr>
      <w:r>
        <w:rPr>
          <w:rFonts w:ascii="Georgia" w:cs="Georgia" w:eastAsia="Georgia" w:hAnsi="Georgia"/>
          <w:b/>
          <w:bCs/>
          <w:color w:val="1F3864"/>
          <w:sz w:val="26"/>
          <w:szCs w:val="26"/>
        </w:rPr>
        <w:t xml:space="preserve">3.4 — Les Atharīs globistes : ʿuluww affirmé, cosmologie incohérente</w:t>
      </w:r>
    </w:p>
    <w:p>
      <w:pPr>
        <w:spacing w:after="160" w:before="80" w:line="360"/>
        <w:jc w:val="both"/>
      </w:pPr>
      <w:r>
        <w:rPr>
          <w:rFonts w:ascii="Georgia" w:cs="Georgia" w:eastAsia="Georgia" w:hAnsi="Georgia"/>
          <w:sz w:val="22"/>
          <w:szCs w:val="22"/>
        </w:rPr>
        <w:t xml:space="preserve">Il s'agit des savants contemporains de la mouvance salafie qui adhèrent au modèle cosmologique dominant tout en affirmant l'ʿuluww littéral. Leur position est que la modalité (kayf) de l'ʿuluww d'Allah au-dessus du Trône nous est inconnue, et que la géométrie terrestre n'infirme pas ce que nous affirmons sans en comprendre la modalité.</w:t>
      </w:r>
    </w:p>
    <w:p>
      <w:pPr>
        <w:spacing w:after="160" w:before="80" w:line="360"/>
        <w:jc w:val="both"/>
      </w:pPr>
      <w:r>
        <w:rPr>
          <w:rFonts w:ascii="Georgia" w:cs="Georgia" w:eastAsia="Georgia" w:hAnsi="Georgia"/>
          <w:sz w:val="22"/>
          <w:szCs w:val="22"/>
        </w:rPr>
        <w:t xml:space="preserve">Cette position est théologiquement tolérable : elle préserve l'essentiel — affirmation de l'ʿuluww, réalité du Trône comme frontière, refus de tout ta'wīl. Sa faiblesse est épistémologique : elle accepte implicitement un cadre cosmologique qui rend l'ʿuluww littéral incohérent tout en proclamant ne pas en tirer de conséquences théologiques. Cette tension interne n'est pas résolue et constitue une fragilité structurelle.</w:t>
      </w:r>
    </w:p>
    <w:p>
      <w:pPr>
        <w:pBdr>
          <w:bottom w:val="single" w:color="B8860B" w:sz="4"/>
        </w:pBdr>
        <w:spacing w:after="240" w:before="240"/>
      </w:pPr>
      <w:r>
        <w:t xml:space="preserve"/>
      </w:r>
    </w:p>
    <w:p>
      <w:pPr>
        <w:pStyle w:val="Heading1"/>
        <w:spacing w:after="180" w:before="440"/>
      </w:pPr>
      <w:r>
        <w:rPr>
          <w:rFonts w:ascii="Georgia" w:cs="Georgia" w:eastAsia="Georgia" w:hAnsi="Georgia"/>
          <w:b/>
          <w:bCs/>
          <w:color w:val="1A4A2E"/>
          <w:sz w:val="32"/>
          <w:szCs w:val="32"/>
        </w:rPr>
        <w:t xml:space="preserve">IV. La Hiérarchie Épistémologique Islamique : Le Coran Prime</w:t>
      </w:r>
    </w:p>
    <w:p>
      <w:pPr>
        <w:pStyle w:val="Heading2"/>
        <w:spacing w:after="140" w:before="300"/>
      </w:pPr>
      <w:r>
        <w:rPr>
          <w:rFonts w:ascii="Georgia" w:cs="Georgia" w:eastAsia="Georgia" w:hAnsi="Georgia"/>
          <w:b/>
          <w:bCs/>
          <w:color w:val="1F3864"/>
          <w:sz w:val="26"/>
          <w:szCs w:val="26"/>
        </w:rPr>
        <w:t xml:space="preserve">4.1 — L'erreur fondamentale des mutakallimūn : inverser la hiérarchie des certitudes</w:t>
      </w:r>
    </w:p>
    <w:p>
      <w:pPr>
        <w:spacing w:after="160" w:before="80" w:line="360"/>
        <w:jc w:val="both"/>
      </w:pPr>
      <w:r>
        <w:rPr>
          <w:rFonts w:ascii="Georgia" w:cs="Georgia" w:eastAsia="Georgia" w:hAnsi="Georgia"/>
          <w:sz w:val="22"/>
          <w:szCs w:val="22"/>
        </w:rPr>
        <w:t xml:space="preserve">L'erreur fondamentale des mutakallimūn qui se sont le plus éloignés de la Sunna est d'ordre épistémologique. Ils ont traité les conclusions de la physique cosmologique grecque comme des muqaddamāt ḍarūriyya (prémisses nécessaires et indiscutables) et ont fait de la révélation une variable d'ajustement. Le texte coranique fut alors soumis à la question : que peut-il signifier, compte tenu de ce que nous savons par ailleurs de la structure de l'univers ?</w:t>
      </w:r>
    </w:p>
    <w:p>
      <w:pPr>
        <w:spacing w:after="160" w:before="80" w:line="360"/>
        <w:jc w:val="both"/>
      </w:pPr>
      <w:r>
        <w:rPr>
          <w:rFonts w:ascii="Georgia" w:cs="Georgia" w:eastAsia="Georgia" w:hAnsi="Georgia"/>
          <w:sz w:val="22"/>
          <w:szCs w:val="22"/>
        </w:rPr>
        <w:t xml:space="preserve">Cette inversion de la hiérarchie des certitudes est le cœur du problème. Pour les Salaf, la révélation authentiquement transmise est le qaṭʿī (certain), et les théories humaines — fussent-elles consensuelles parmi les savants de leur époque — sont des ẓanniyyāt (probabilités) sujettes à révision. Toute physique humaine est provisoire ; aucune parole de la révélation ne l'est.</w:t>
      </w:r>
    </w:p>
    <w:p>
      <w:pPr>
        <w:spacing w:after="40" w:before="160"/>
        <w:jc w:val="right"/>
      </w:pPr>
      <w:r>
        <w:rPr>
          <w:rFonts w:ascii="Amiri" w:cs="Amiri" w:eastAsia="Amiri" w:hAnsi="Amiri"/>
          <w:color w:val="8B6914"/>
          <w:sz w:val="24"/>
          <w:szCs w:val="24"/>
        </w:rPr>
        <w:t xml:space="preserve">إِذَا صَحَّ الْحَدِيثُ فَهُوَ مَذْهَبِي</w:t>
      </w:r>
    </w:p>
    <w:p>
      <w:pPr>
        <w:spacing w:after="40" w:before="0"/>
        <w:jc w:val="center"/>
      </w:pPr>
      <w:r>
        <w:rPr>
          <w:rFonts w:ascii="Georgia" w:cs="Georgia" w:eastAsia="Georgia" w:hAnsi="Georgia"/>
          <w:i/>
          <w:iCs/>
          <w:color w:val="8B6914"/>
          <w:sz w:val="19"/>
          <w:szCs w:val="19"/>
        </w:rPr>
        <w:t xml:space="preserve">Idhā ṣaḥḥa al-ḥadīth fa-huwa madhhābī</w:t>
      </w:r>
    </w:p>
    <w:p>
      <w:pPr>
        <w:pBdr>
          <w:left w:val="thick" w:color="B8860B" w:sz="8"/>
        </w:pBdr>
        <w:shd w:fill="FDFAF2" w:val="clear"/>
        <w:spacing w:after="40" w:before="40"/>
        <w:ind w:left="480" w:right="480"/>
        <w:jc w:val="both"/>
      </w:pPr>
      <w:r>
        <w:rPr>
          <w:rFonts w:ascii="Georgia" w:cs="Georgia" w:eastAsia="Georgia" w:hAnsi="Georgia"/>
          <w:i/>
          <w:iCs/>
          <w:color w:val="8B6914"/>
          <w:sz w:val="21"/>
          <w:szCs w:val="21"/>
        </w:rPr>
        <w:t xml:space="preserve">« Quand le hadīth est authentifié, c'est ma position. »</w:t>
      </w:r>
    </w:p>
    <w:p>
      <w:pPr>
        <w:spacing w:after="140" w:before="20"/>
        <w:ind w:right="480"/>
        <w:jc w:val="right"/>
      </w:pPr>
      <w:r>
        <w:rPr>
          <w:rFonts w:ascii="Georgia" w:cs="Georgia" w:eastAsia="Georgia" w:hAnsi="Georgia"/>
          <w:b/>
          <w:bCs/>
          <w:color w:val="8B6914"/>
          <w:sz w:val="19"/>
          <w:szCs w:val="19"/>
        </w:rPr>
        <w:t xml:space="preserve">— Imam al-Shāfiʿī (rahimahullāh) — rapporté par al-Nawawī dans Al-Majmūʿ et par Ibn Ḥajar dans Tawālī al-Taʾsīs</w:t>
      </w:r>
    </w:p>
    <w:p>
      <w:pPr>
        <w:spacing w:after="160" w:before="80" w:line="360"/>
        <w:jc w:val="both"/>
      </w:pPr>
      <w:r>
        <w:rPr>
          <w:rFonts w:ascii="Georgia" w:cs="Georgia" w:eastAsia="Georgia" w:hAnsi="Georgia"/>
          <w:sz w:val="22"/>
          <w:szCs w:val="22"/>
        </w:rPr>
        <w:t xml:space="preserve">Ce principe — que l'authenticité du texte prime sur toute opinion humaine — s'applique a fortiori face aux théories cosmologiques. Aucune théorie physique ne peut être suffisamment certaine pour justifier une réinterprétation allégorique des textes du Coran et de la Sunna sur l'ʿuluww.</w:t>
      </w:r>
    </w:p>
    <w:p>
      <w:pPr>
        <w:pStyle w:val="Heading2"/>
        <w:spacing w:after="140" w:before="300"/>
      </w:pPr>
      <w:r>
        <w:rPr>
          <w:rFonts w:ascii="Georgia" w:cs="Georgia" w:eastAsia="Georgia" w:hAnsi="Georgia"/>
          <w:b/>
          <w:bCs/>
          <w:color w:val="1F3864"/>
          <w:sz w:val="26"/>
          <w:szCs w:val="26"/>
        </w:rPr>
        <w:t xml:space="preserve">4.2 — La leçon historique du ta'wīl forcé</w:t>
      </w:r>
    </w:p>
    <w:p>
      <w:pPr>
        <w:spacing w:after="160" w:before="80" w:line="360"/>
        <w:jc w:val="both"/>
      </w:pPr>
      <w:r>
        <w:rPr>
          <w:rFonts w:ascii="Georgia" w:cs="Georgia" w:eastAsia="Georgia" w:hAnsi="Georgia"/>
          <w:sz w:val="22"/>
          <w:szCs w:val="22"/>
        </w:rPr>
        <w:t xml:space="preserve">L'histoire du kalām est une démonstration expérimentale des conséquences de l'adoption des prémisses adverses. Lorsque les premiers Muʿtazila ont admis les prémisses philosophiques grecques, ils furent logiquement contraints de nier les attributs divins. Lorsque les Ashārites tardifs admirent le modèle des sphères ptoléméennes, ils furent logiquement contraints soit d'effacer le ḥadd entre Allah et Sa création, soit de recourir à des subtilités conceptuelles inaccessibles au commun des croyants.</w:t>
      </w:r>
    </w:p>
    <w:p>
      <w:pPr>
        <w:spacing w:after="160" w:before="80" w:line="360"/>
        <w:jc w:val="both"/>
      </w:pPr>
      <w:r>
        <w:rPr>
          <w:rFonts w:ascii="Georgia" w:cs="Georgia" w:eastAsia="Georgia" w:hAnsi="Georgia"/>
          <w:sz w:val="22"/>
          <w:szCs w:val="22"/>
        </w:rPr>
        <w:t xml:space="preserve">L'antidote n'est donc pas de produire un kalām « islamique » plus raffiné. C'est de refuser les prémisses elles-mêmes dès lors qu'elles entrent en contradiction avec les données révélées. La méthode des Salaf — qui avaient face à eux les mêmes défis philosophiques — consista non pas à « répondre » à la philosophie sur son propre terrain, mais à l'écarter au nom de la souveraineté épistémologique de la révélation.</w:t>
      </w:r>
    </w:p>
    <w:p>
      <w:pPr>
        <w:spacing w:after="40" w:before="160"/>
        <w:jc w:val="right"/>
      </w:pPr>
      <w:r>
        <w:rPr>
          <w:rFonts w:ascii="Amiri" w:cs="Amiri" w:eastAsia="Amiri" w:hAnsi="Amiri"/>
          <w:color w:val="1F3864"/>
          <w:sz w:val="30"/>
          <w:szCs w:val="30"/>
        </w:rPr>
        <w:t xml:space="preserve">وَمَا اخْتَلَفْتُمْ فِيهِ مِن شَيْءٍ فَحُكْمُهُ إِلَى اللَّهِ</w:t>
      </w:r>
    </w:p>
    <w:p>
      <w:pPr>
        <w:spacing w:after="40" w:before="0"/>
        <w:jc w:val="center"/>
      </w:pPr>
      <w:r>
        <w:rPr>
          <w:rFonts w:ascii="Georgia" w:cs="Georgia" w:eastAsia="Georgia" w:hAnsi="Georgia"/>
          <w:i/>
          <w:iCs/>
          <w:color w:val="1F3864"/>
          <w:sz w:val="20"/>
          <w:szCs w:val="20"/>
        </w:rPr>
        <w:t xml:space="preserve">Wa mā ikhtalaftum fīhi min shayʾ fa-ḥukmuhu ilā Allāh</w:t>
      </w:r>
    </w:p>
    <w:p>
      <w:pPr>
        <w:pBdr>
          <w:left w:val="thick" w:color="1F3864" w:sz="8"/>
        </w:pBdr>
        <w:spacing w:after="120" w:before="40"/>
        <w:ind w:left="480"/>
        <w:jc w:val="both"/>
      </w:pPr>
      <w:r>
        <w:rPr>
          <w:rFonts w:ascii="Georgia" w:cs="Georgia" w:eastAsia="Georgia" w:hAnsi="Georgia"/>
          <w:i/>
          <w:iCs/>
          <w:color w:val="1F3864"/>
          <w:sz w:val="22"/>
          <w:szCs w:val="22"/>
        </w:rPr>
        <w:t xml:space="preserve">« En quelque chose que vous divergiez, son jugement revient à Allah. »</w:t>
      </w:r>
      <w:r>
        <w:rPr>
          <w:rFonts w:ascii="Georgia" w:cs="Georgia" w:eastAsia="Georgia" w:hAnsi="Georgia"/>
          <w:b/>
          <w:bCs/>
          <w:color w:val="1F3864"/>
          <w:sz w:val="20"/>
          <w:szCs w:val="20"/>
        </w:rPr>
        <w:t xml:space="preserve">  [Sūrat Al-Shūrā 42:10]</w:t>
      </w:r>
    </w:p>
    <w:p>
      <w:pPr>
        <w:pStyle w:val="Heading2"/>
        <w:spacing w:after="140" w:before="300"/>
      </w:pPr>
      <w:r>
        <w:rPr>
          <w:rFonts w:ascii="Georgia" w:cs="Georgia" w:eastAsia="Georgia" w:hAnsi="Georgia"/>
          <w:b/>
          <w:bCs/>
          <w:color w:val="1F3864"/>
          <w:sz w:val="26"/>
          <w:szCs w:val="26"/>
        </w:rPr>
        <w:t xml:space="preserve">4.3 — Les indices coraniques d'une cosmologie de la terre étendue</w:t>
      </w:r>
    </w:p>
    <w:p>
      <w:pPr>
        <w:spacing w:after="160" w:before="80" w:line="360"/>
        <w:jc w:val="both"/>
      </w:pPr>
      <w:r>
        <w:rPr>
          <w:rFonts w:ascii="Georgia" w:cs="Georgia" w:eastAsia="Georgia" w:hAnsi="Georgia"/>
          <w:sz w:val="22"/>
          <w:szCs w:val="22"/>
        </w:rPr>
        <w:t xml:space="preserve">Le Coran décrit la structure de la création de manière cohérente avec une cosmologie de terre étendue et de cieux superposés au-dessus d'elle. Ces descriptions ne sont pas accidentelles ni purement métaphoriques — elles constituent le cadre cosmologique dans lequel la révélation a été reçue et compris par les premiers destinataires.</w:t>
      </w:r>
    </w:p>
    <w:p>
      <w:pPr>
        <w:spacing w:after="40" w:before="160"/>
        <w:jc w:val="right"/>
      </w:pPr>
      <w:r>
        <w:rPr>
          <w:rFonts w:ascii="Amiri" w:cs="Amiri" w:eastAsia="Amiri" w:hAnsi="Amiri"/>
          <w:color w:val="1F3864"/>
          <w:sz w:val="30"/>
          <w:szCs w:val="30"/>
        </w:rPr>
        <w:t xml:space="preserve">الَّذِي جَعَلَ لَكُمُ الْأَرْضَ فِرَاشًا وَالسَّمَاءَ بِنَاءً</w:t>
      </w:r>
    </w:p>
    <w:p>
      <w:pPr>
        <w:spacing w:after="40" w:before="0"/>
        <w:jc w:val="center"/>
      </w:pPr>
      <w:r>
        <w:rPr>
          <w:rFonts w:ascii="Georgia" w:cs="Georgia" w:eastAsia="Georgia" w:hAnsi="Georgia"/>
          <w:i/>
          <w:iCs/>
          <w:color w:val="1F3864"/>
          <w:sz w:val="20"/>
          <w:szCs w:val="20"/>
        </w:rPr>
        <w:t xml:space="preserve">Alladhī jaʿala lakumu al-arḍa firāshan wa al-samāʾa bināʾan</w:t>
      </w:r>
    </w:p>
    <w:p>
      <w:pPr>
        <w:pBdr>
          <w:left w:val="thick" w:color="1F3864" w:sz="8"/>
        </w:pBdr>
        <w:spacing w:after="120" w:before="40"/>
        <w:ind w:left="480"/>
        <w:jc w:val="both"/>
      </w:pPr>
      <w:r>
        <w:rPr>
          <w:rFonts w:ascii="Georgia" w:cs="Georgia" w:eastAsia="Georgia" w:hAnsi="Georgia"/>
          <w:i/>
          <w:iCs/>
          <w:color w:val="1F3864"/>
          <w:sz w:val="22"/>
          <w:szCs w:val="22"/>
        </w:rPr>
        <w:t xml:space="preserve">« Celui qui a fait pour vous la Terre comme un tapis et le ciel comme une construction. »</w:t>
      </w:r>
      <w:r>
        <w:rPr>
          <w:rFonts w:ascii="Georgia" w:cs="Georgia" w:eastAsia="Georgia" w:hAnsi="Georgia"/>
          <w:b/>
          <w:bCs/>
          <w:color w:val="1F3864"/>
          <w:sz w:val="20"/>
          <w:szCs w:val="20"/>
        </w:rPr>
        <w:t xml:space="preserve">  [Sūrat Al-Baqara 2:22]</w:t>
      </w:r>
    </w:p>
    <w:p>
      <w:pPr>
        <w:spacing w:after="40" w:before="160"/>
        <w:jc w:val="right"/>
      </w:pPr>
      <w:r>
        <w:rPr>
          <w:rFonts w:ascii="Amiri" w:cs="Amiri" w:eastAsia="Amiri" w:hAnsi="Amiri"/>
          <w:color w:val="1F3864"/>
          <w:sz w:val="30"/>
          <w:szCs w:val="30"/>
        </w:rPr>
        <w:t xml:space="preserve">الَّذِي خَلَقَ سَبْعَ سَمَاوَاتٍ طِبَاقًا</w:t>
      </w:r>
    </w:p>
    <w:p>
      <w:pPr>
        <w:spacing w:after="40" w:before="0"/>
        <w:jc w:val="center"/>
      </w:pPr>
      <w:r>
        <w:rPr>
          <w:rFonts w:ascii="Georgia" w:cs="Georgia" w:eastAsia="Georgia" w:hAnsi="Georgia"/>
          <w:i/>
          <w:iCs/>
          <w:color w:val="1F3864"/>
          <w:sz w:val="20"/>
          <w:szCs w:val="20"/>
        </w:rPr>
        <w:t xml:space="preserve">Alladhī khalaqa sabʿa samāwātin ṭibāqā</w:t>
      </w:r>
    </w:p>
    <w:p>
      <w:pPr>
        <w:pBdr>
          <w:left w:val="thick" w:color="1F3864" w:sz="8"/>
        </w:pBdr>
        <w:spacing w:after="120" w:before="40"/>
        <w:ind w:left="480"/>
        <w:jc w:val="both"/>
      </w:pPr>
      <w:r>
        <w:rPr>
          <w:rFonts w:ascii="Georgia" w:cs="Georgia" w:eastAsia="Georgia" w:hAnsi="Georgia"/>
          <w:i/>
          <w:iCs/>
          <w:color w:val="1F3864"/>
          <w:sz w:val="22"/>
          <w:szCs w:val="22"/>
        </w:rPr>
        <w:t xml:space="preserve">« Celui qui a créé sept cieux superposés en étages. »</w:t>
      </w:r>
      <w:r>
        <w:rPr>
          <w:rFonts w:ascii="Georgia" w:cs="Georgia" w:eastAsia="Georgia" w:hAnsi="Georgia"/>
          <w:b/>
          <w:bCs/>
          <w:color w:val="1F3864"/>
          <w:sz w:val="20"/>
          <w:szCs w:val="20"/>
        </w:rPr>
        <w:t xml:space="preserve">  [Sūrat Al-Mulk 67:3]</w:t>
      </w:r>
    </w:p>
    <w:p>
      <w:pPr>
        <w:spacing w:after="40" w:before="160"/>
        <w:jc w:val="right"/>
      </w:pPr>
      <w:r>
        <w:rPr>
          <w:rFonts w:ascii="Amiri" w:cs="Amiri" w:eastAsia="Amiri" w:hAnsi="Amiri"/>
          <w:color w:val="1F3864"/>
          <w:sz w:val="30"/>
          <w:szCs w:val="30"/>
        </w:rPr>
        <w:t xml:space="preserve">وَجَعَلْنَا السَّمَاءَ سَقْفًا مَّحْفُوظًا</w:t>
      </w:r>
    </w:p>
    <w:p>
      <w:pPr>
        <w:spacing w:after="40" w:before="0"/>
        <w:jc w:val="center"/>
      </w:pPr>
      <w:r>
        <w:rPr>
          <w:rFonts w:ascii="Georgia" w:cs="Georgia" w:eastAsia="Georgia" w:hAnsi="Georgia"/>
          <w:i/>
          <w:iCs/>
          <w:color w:val="1F3864"/>
          <w:sz w:val="20"/>
          <w:szCs w:val="20"/>
        </w:rPr>
        <w:t xml:space="preserve">Wa jaʿalnā al-samāʾa saqfan maḥfūẓā</w:t>
      </w:r>
    </w:p>
    <w:p>
      <w:pPr>
        <w:pBdr>
          <w:left w:val="thick" w:color="1F3864" w:sz="8"/>
        </w:pBdr>
        <w:spacing w:after="120" w:before="40"/>
        <w:ind w:left="480"/>
        <w:jc w:val="both"/>
      </w:pPr>
      <w:r>
        <w:rPr>
          <w:rFonts w:ascii="Georgia" w:cs="Georgia" w:eastAsia="Georgia" w:hAnsi="Georgia"/>
          <w:i/>
          <w:iCs/>
          <w:color w:val="1F3864"/>
          <w:sz w:val="22"/>
          <w:szCs w:val="22"/>
        </w:rPr>
        <w:t xml:space="preserve">« Et Nous avons fait du ciel un plafond protégé. »</w:t>
      </w:r>
      <w:r>
        <w:rPr>
          <w:rFonts w:ascii="Georgia" w:cs="Georgia" w:eastAsia="Georgia" w:hAnsi="Georgia"/>
          <w:b/>
          <w:bCs/>
          <w:color w:val="1F3864"/>
          <w:sz w:val="20"/>
          <w:szCs w:val="20"/>
        </w:rPr>
        <w:t xml:space="preserve">  [Sūrat Al-Anbiyāʾ 21:32]</w:t>
      </w:r>
    </w:p>
    <w:p>
      <w:pPr>
        <w:spacing w:after="160" w:before="80" w:line="360"/>
        <w:jc w:val="both"/>
      </w:pPr>
      <w:r>
        <w:rPr>
          <w:rFonts w:ascii="Georgia" w:cs="Georgia" w:eastAsia="Georgia" w:hAnsi="Georgia"/>
          <w:sz w:val="22"/>
          <w:szCs w:val="22"/>
        </w:rPr>
        <w:t xml:space="preserve">La métaphore du « plafond » (saqf) n'a de sens spatial cohérent que dans un paradigme où la Terre est une surface étendue et les cieux constituent un toit au-dessus d'elle. Dans un modèle sphérique où les cieux enveloppent la Terre de toutes parts, les cieux ne sont plus un « plafond » mais une enveloppe — une notion spatialement distincte que le Coran n'emploie pas.</w:t>
      </w:r>
    </w:p>
    <w:p>
      <w:pPr>
        <w:spacing w:after="40" w:before="160"/>
        <w:jc w:val="right"/>
      </w:pPr>
      <w:r>
        <w:rPr>
          <w:rFonts w:ascii="Amiri" w:cs="Amiri" w:eastAsia="Amiri" w:hAnsi="Amiri"/>
          <w:color w:val="1F3864"/>
          <w:sz w:val="30"/>
          <w:szCs w:val="30"/>
        </w:rPr>
        <w:t xml:space="preserve">وَأَوْحَىٰ فِي كُلِّ سَمَاءٍ أَمْرَهَا</w:t>
      </w:r>
    </w:p>
    <w:p>
      <w:pPr>
        <w:spacing w:after="40" w:before="0"/>
        <w:jc w:val="center"/>
      </w:pPr>
      <w:r>
        <w:rPr>
          <w:rFonts w:ascii="Georgia" w:cs="Georgia" w:eastAsia="Georgia" w:hAnsi="Georgia"/>
          <w:i/>
          <w:iCs/>
          <w:color w:val="1F3864"/>
          <w:sz w:val="20"/>
          <w:szCs w:val="20"/>
        </w:rPr>
        <w:t xml:space="preserve">Wa awḥā fī kulli samāʾin amrahā</w:t>
      </w:r>
    </w:p>
    <w:p>
      <w:pPr>
        <w:pBdr>
          <w:left w:val="thick" w:color="1F3864" w:sz="8"/>
        </w:pBdr>
        <w:spacing w:after="120" w:before="40"/>
        <w:ind w:left="480"/>
        <w:jc w:val="both"/>
      </w:pPr>
      <w:r>
        <w:rPr>
          <w:rFonts w:ascii="Georgia" w:cs="Georgia" w:eastAsia="Georgia" w:hAnsi="Georgia"/>
          <w:i/>
          <w:iCs/>
          <w:color w:val="1F3864"/>
          <w:sz w:val="22"/>
          <w:szCs w:val="22"/>
        </w:rPr>
        <w:t xml:space="preserve">« Et Il révéla en chaque ciel sa fonction. »</w:t>
      </w:r>
      <w:r>
        <w:rPr>
          <w:rFonts w:ascii="Georgia" w:cs="Georgia" w:eastAsia="Georgia" w:hAnsi="Georgia"/>
          <w:b/>
          <w:bCs/>
          <w:color w:val="1F3864"/>
          <w:sz w:val="20"/>
          <w:szCs w:val="20"/>
        </w:rPr>
        <w:t xml:space="preserve">  [Sūrat Fuṣṣilat 41:12]</w:t>
      </w:r>
    </w:p>
    <w:p>
      <w:pPr>
        <w:spacing w:after="160" w:before="80" w:line="360"/>
        <w:jc w:val="both"/>
      </w:pPr>
      <w:r>
        <w:rPr>
          <w:rFonts w:ascii="Georgia" w:cs="Georgia" w:eastAsia="Georgia" w:hAnsi="Georgia"/>
          <w:sz w:val="22"/>
          <w:szCs w:val="22"/>
        </w:rPr>
        <w:t xml:space="preserve">Cette description de cieux distincts, chacun ayant sa propre fonction, est parfaitement cohérente avec une cosmologie de couches superposées distinctes. Elle est structurellement incompatible avec des sphères concentriques qui n'ont qu'une seule réalité d'enveloppement.</w:t>
      </w:r>
    </w:p>
    <w:p>
      <w:pPr>
        <w:pBdr>
          <w:bottom w:val="single" w:color="B8860B" w:sz="4"/>
        </w:pBdr>
        <w:spacing w:after="240" w:before="240"/>
      </w:pPr>
      <w:r>
        <w:t xml:space="preserve"/>
      </w:r>
    </w:p>
    <w:p>
      <w:pPr>
        <w:pStyle w:val="Heading1"/>
        <w:spacing w:after="180" w:before="440"/>
      </w:pPr>
      <w:r>
        <w:rPr>
          <w:rFonts w:ascii="Georgia" w:cs="Georgia" w:eastAsia="Georgia" w:hAnsi="Georgia"/>
          <w:b/>
          <w:bCs/>
          <w:color w:val="1A4A2E"/>
          <w:sz w:val="32"/>
          <w:szCs w:val="32"/>
        </w:rPr>
        <w:t xml:space="preserve">V. La Mise en Garde contre le Ghuluww dans le Jugement</w:t>
      </w:r>
    </w:p>
    <w:p>
      <w:pPr>
        <w:pStyle w:val="Heading2"/>
        <w:spacing w:after="140" w:before="300"/>
      </w:pPr>
      <w:r>
        <w:rPr>
          <w:rFonts w:ascii="Georgia" w:cs="Georgia" w:eastAsia="Georgia" w:hAnsi="Georgia"/>
          <w:b/>
          <w:bCs/>
          <w:color w:val="1F3864"/>
          <w:sz w:val="26"/>
          <w:szCs w:val="26"/>
        </w:rPr>
        <w:t xml:space="preserve">5.1 — Le principe de la gradation dans le jugement</w:t>
      </w:r>
    </w:p>
    <w:p>
      <w:pPr>
        <w:spacing w:after="160" w:before="80" w:line="360"/>
        <w:jc w:val="both"/>
      </w:pPr>
      <w:r>
        <w:rPr>
          <w:rFonts w:ascii="Georgia" w:cs="Georgia" w:eastAsia="Georgia" w:hAnsi="Georgia"/>
          <w:sz w:val="22"/>
          <w:szCs w:val="22"/>
        </w:rPr>
        <w:t xml:space="preserve">L'analyse qui précède cartographie les positions doctrinales et identifie leurs déviations respectives. Mais cette cartographie doit être accompagnée d'une mise en garde capitale : la sévérité du jugement doctrinal sur une position ne se transfère pas automatiquement aux individus qui la soutiennent.</w:t>
      </w:r>
    </w:p>
    <w:p>
      <w:pPr>
        <w:spacing w:after="160" w:before="80" w:line="360"/>
        <w:jc w:val="both"/>
      </w:pPr>
      <w:r>
        <w:rPr>
          <w:rFonts w:ascii="Georgia" w:cs="Georgia" w:eastAsia="Georgia" w:hAnsi="Georgia"/>
          <w:sz w:val="22"/>
          <w:szCs w:val="22"/>
        </w:rPr>
        <w:t xml:space="preserve">Les imams de l'Islam ont posé une distinction fondamentale entre qualifier une parole de kuffr ou de dalāl (égarement) — ce qui relève du jugement sur le contenu doctrinal — et prononcer le takfīr ou la tabdīʿ d'un individu particulier — ce qui relève du jugement sur une personne. Ces deux actes obéissent à des règles différentes.</w:t>
      </w:r>
    </w:p>
    <w:p>
      <w:pPr>
        <w:spacing w:after="40" w:before="160"/>
        <w:jc w:val="right"/>
      </w:pPr>
      <w:r>
        <w:rPr>
          <w:rFonts w:ascii="Amiri" w:cs="Amiri" w:eastAsia="Amiri" w:hAnsi="Amiri"/>
          <w:color w:val="8B6914"/>
          <w:sz w:val="24"/>
          <w:szCs w:val="24"/>
        </w:rPr>
        <w:t xml:space="preserve">التَّكْفِيرُ حُكْمٌ شَرْعِيٌّ مَرْجِعُهُ إِلَى اللهِ وَرَسُولِهِ، وَلَا يَجُوزُ الْحُكْمُ بِرِدَّةِ مُسْلِمٍ حَتَّى تَقُومَ عَلَيْهِ الْحُجَّةُ</w:t>
      </w:r>
    </w:p>
    <w:p>
      <w:pPr>
        <w:spacing w:after="40" w:before="0"/>
        <w:jc w:val="center"/>
      </w:pPr>
      <w:r>
        <w:rPr>
          <w:rFonts w:ascii="Georgia" w:cs="Georgia" w:eastAsia="Georgia" w:hAnsi="Georgia"/>
          <w:i/>
          <w:iCs/>
          <w:color w:val="8B6914"/>
          <w:sz w:val="19"/>
          <w:szCs w:val="19"/>
        </w:rPr>
        <w:t xml:space="preserve">Al-takfīru ḥukmun sharʿiyyun marjiʿuhu ilā Allāh wa rasūlihi, wa lā yajūzu al-ḥukmu bi-riddati muslimin ḥattā taqūma ʿalayhi al-ḥujja</w:t>
      </w:r>
    </w:p>
    <w:p>
      <w:pPr>
        <w:pBdr>
          <w:left w:val="thick" w:color="B8860B" w:sz="8"/>
        </w:pBdr>
        <w:shd w:fill="FDFAF2" w:val="clear"/>
        <w:spacing w:after="40" w:before="40"/>
        <w:ind w:left="480" w:right="480"/>
        <w:jc w:val="both"/>
      </w:pPr>
      <w:r>
        <w:rPr>
          <w:rFonts w:ascii="Georgia" w:cs="Georgia" w:eastAsia="Georgia" w:hAnsi="Georgia"/>
          <w:i/>
          <w:iCs/>
          <w:color w:val="8B6914"/>
          <w:sz w:val="21"/>
          <w:szCs w:val="21"/>
        </w:rPr>
        <w:t xml:space="preserve">« Le takfīr est un jugement légal dont la référence appartient à Allah et à Son Messager. Il n'est pas permis de prononcer le jugement d'apostasie sur un musulman jusqu'à ce que la preuve soit établie contre lui. »</w:t>
      </w:r>
    </w:p>
    <w:p>
      <w:pPr>
        <w:spacing w:after="140" w:before="20"/>
        <w:ind w:right="480"/>
        <w:jc w:val="right"/>
      </w:pPr>
      <w:r>
        <w:rPr>
          <w:rFonts w:ascii="Georgia" w:cs="Georgia" w:eastAsia="Georgia" w:hAnsi="Georgia"/>
          <w:b/>
          <w:bCs/>
          <w:color w:val="8B6914"/>
          <w:sz w:val="19"/>
          <w:szCs w:val="19"/>
        </w:rPr>
        <w:t xml:space="preserve">— Ibn Taymiyya, Majmūʿ al-Fatāwā, vol. 12, p. 180</w:t>
      </w:r>
    </w:p>
    <w:p>
      <w:pPr>
        <w:pStyle w:val="Heading2"/>
        <w:spacing w:after="140" w:before="300"/>
      </w:pPr>
      <w:r>
        <w:rPr>
          <w:rFonts w:ascii="Georgia" w:cs="Georgia" w:eastAsia="Georgia" w:hAnsi="Georgia"/>
          <w:b/>
          <w:bCs/>
          <w:color w:val="1F3864"/>
          <w:sz w:val="26"/>
          <w:szCs w:val="26"/>
        </w:rPr>
        <w:t xml:space="preserve">5.2 — Les conditions du takfīr al-muʿayyan</w:t>
      </w:r>
    </w:p>
    <w:p>
      <w:pPr>
        <w:spacing w:after="160" w:before="80" w:line="360"/>
        <w:jc w:val="both"/>
      </w:pPr>
      <w:r>
        <w:rPr>
          <w:rFonts w:ascii="Georgia" w:cs="Georgia" w:eastAsia="Georgia" w:hAnsi="Georgia"/>
          <w:sz w:val="22"/>
          <w:szCs w:val="22"/>
        </w:rPr>
        <w:t xml:space="preserve">Avant de prononcer le takfīr sur un individu musulman particulier pour une erreur de ʿaqīda, les imams ont posé plusieurs conditions cumulatives : l'iqāmat al-ḥujja (établissement de la preuve) — que l'argument correct lui a été correctement présenté ; rafʿ al-jahl (levée de l'ignorance) — qu'il ne peut pas être excusé par une ignorance involontaire ; l'absence de taʾwīl sāʾigh — qu'il n'existe pas d'interprétation admissible qui lui permettrait une défense sincère ; et l'absence de contrainte ou d'erreur d'appréciation sincère.</w:t>
      </w:r>
    </w:p>
    <w:p>
      <w:pPr>
        <w:spacing w:after="160" w:before="80" w:line="360"/>
        <w:jc w:val="both"/>
      </w:pPr>
      <w:r>
        <w:rPr>
          <w:rFonts w:ascii="Georgia" w:cs="Georgia" w:eastAsia="Georgia" w:hAnsi="Georgia"/>
          <w:sz w:val="22"/>
          <w:szCs w:val="22"/>
        </w:rPr>
        <w:t xml:space="preserve">Ces conditions font que même des positions doctrinalement graves ne conduisent pas automatiquement au takfīr des individus. Un savant qui a hérité d'une cosmologie sphérique de son environnement intellectuel, et qui maintient l'affirmation de l'ʿuluww réel sans avoir jamais été confronté à la démonstration de l'incompatibilité de sa cosmologie avec cet ʿuluww, peut bénéficier de l'excuse de l'ignorance ou de l'erreur d'ijtihād.</w:t>
      </w:r>
    </w:p>
    <w:p>
      <w:pPr>
        <w:pStyle w:val="Heading2"/>
        <w:spacing w:after="140" w:before="300"/>
      </w:pPr>
      <w:r>
        <w:rPr>
          <w:rFonts w:ascii="Georgia" w:cs="Georgia" w:eastAsia="Georgia" w:hAnsi="Georgia"/>
          <w:b/>
          <w:bCs/>
          <w:color w:val="1F3864"/>
          <w:sz w:val="26"/>
          <w:szCs w:val="26"/>
        </w:rPr>
        <w:t xml:space="preserve">5.3 — Le critère juste : non pas le globe, mais ses implications doctrinales</w:t>
      </w:r>
    </w:p>
    <w:p>
      <w:pPr>
        <w:spacing w:after="160" w:before="80" w:line="360"/>
        <w:jc w:val="both"/>
      </w:pPr>
      <w:r>
        <w:rPr>
          <w:rFonts w:ascii="Georgia" w:cs="Georgia" w:eastAsia="Georgia" w:hAnsi="Georgia"/>
          <w:sz w:val="22"/>
          <w:szCs w:val="22"/>
        </w:rPr>
        <w:t xml:space="preserve">La ligne de démarcation théologiquement correcte n'est donc pas : « croit-il au globe ou à la terre plate ? » Cette question, prise isolément, n'est pas le critère d'appartenance à la Sunna ou à la déviance. Le critère est celui-ci : qu'est-ce que la cosmologie adoptée implique pour la ʿaqīda sur Allah ?</w:t>
      </w:r>
    </w:p>
    <w:p>
      <w:pPr>
        <w:spacing w:after="160" w:before="80" w:line="360"/>
        <w:jc w:val="both"/>
      </w:pPr>
      <w:r>
        <w:rPr>
          <w:rFonts w:ascii="Georgia" w:cs="Georgia" w:eastAsia="Georgia" w:hAnsi="Georgia"/>
          <w:sz w:val="22"/>
          <w:szCs w:val="22"/>
        </w:rPr>
        <w:t xml:space="preserve">Plus un musulman préserve les principes sunnites fondamentaux — affirmation de l'essence réelle d'Allah, de Son ʿuluww réel, de la réalité du Trône comme frontière créée entre le Créateur et le créé, et de la primauté du texte révélé sur toute théorie humaine — plus il est proche de la Sunna, indépendamment des détails cosmologiques qu'il a hérités de son environnement intellectuel.</w:t>
      </w:r>
    </w:p>
    <w:p>
      <w:pPr>
        <w:spacing w:after="160" w:before="80" w:line="360"/>
        <w:jc w:val="both"/>
      </w:pPr>
      <w:r>
        <w:rPr>
          <w:rFonts w:ascii="Georgia" w:cs="Georgia" w:eastAsia="Georgia" w:hAnsi="Georgia"/>
          <w:sz w:val="22"/>
          <w:szCs w:val="22"/>
        </w:rPr>
        <w:t xml:space="preserve">Et inversement : plus il abandonne ces principes au profit des prémisses philosophiques, plus il s'éloigne. La déviance est mesurée à l'aune du degré d'abandon des fondements révélés, non à l'aune de la carte du monde que l'on possède.</w:t>
      </w:r>
    </w:p>
    <w:p>
      <w:pPr>
        <w:spacing w:after="40" w:before="160"/>
        <w:jc w:val="right"/>
      </w:pPr>
      <w:r>
        <w:rPr>
          <w:rFonts w:ascii="Amiri" w:cs="Amiri" w:eastAsia="Amiri" w:hAnsi="Amiri"/>
          <w:color w:val="8B6914"/>
          <w:sz w:val="24"/>
          <w:szCs w:val="24"/>
        </w:rPr>
        <w:t xml:space="preserve">فَكُلَّمَا كَانَ الرَّجُلُ أَقْرَبَ إِلَى السُّنَّةِ وَأَهْلِهَا كَانَ أَبْعَدَ عَنِ الْبِدْعَةِ وَأَهْلِهَا</w:t>
      </w:r>
    </w:p>
    <w:p>
      <w:pPr>
        <w:spacing w:after="40" w:before="0"/>
        <w:jc w:val="center"/>
      </w:pPr>
      <w:r>
        <w:rPr>
          <w:rFonts w:ascii="Georgia" w:cs="Georgia" w:eastAsia="Georgia" w:hAnsi="Georgia"/>
          <w:i/>
          <w:iCs/>
          <w:color w:val="8B6914"/>
          <w:sz w:val="19"/>
          <w:szCs w:val="19"/>
        </w:rPr>
        <w:t xml:space="preserve">Fa-kullamā kāna al-rajulu aqraba ilā al-sunna wa ahlihā kāna abʿada ʿan al-bidʿa wa ahlihā</w:t>
      </w:r>
    </w:p>
    <w:p>
      <w:pPr>
        <w:pBdr>
          <w:left w:val="thick" w:color="B8860B" w:sz="8"/>
        </w:pBdr>
        <w:shd w:fill="FDFAF2" w:val="clear"/>
        <w:spacing w:after="40" w:before="40"/>
        <w:ind w:left="480" w:right="480"/>
        <w:jc w:val="both"/>
      </w:pPr>
      <w:r>
        <w:rPr>
          <w:rFonts w:ascii="Georgia" w:cs="Georgia" w:eastAsia="Georgia" w:hAnsi="Georgia"/>
          <w:i/>
          <w:iCs/>
          <w:color w:val="8B6914"/>
          <w:sz w:val="21"/>
          <w:szCs w:val="21"/>
        </w:rPr>
        <w:t xml:space="preserve">« Plus un homme est proche de la Sunna et de ses gens, plus il est éloigné de l'innovation et de ses gens. »</w:t>
      </w:r>
    </w:p>
    <w:p>
      <w:pPr>
        <w:spacing w:after="140" w:before="20"/>
        <w:ind w:right="480"/>
        <w:jc w:val="right"/>
      </w:pPr>
      <w:r>
        <w:rPr>
          <w:rFonts w:ascii="Georgia" w:cs="Georgia" w:eastAsia="Georgia" w:hAnsi="Georgia"/>
          <w:b/>
          <w:bCs/>
          <w:color w:val="8B6914"/>
          <w:sz w:val="19"/>
          <w:szCs w:val="19"/>
        </w:rPr>
        <w:t xml:space="preserve">— Ibn Taymiyya, Majmūʿ al-Fatāwā, vol. 4, p. 15</w:t>
      </w:r>
    </w:p>
    <w:p>
      <w:pPr>
        <w:pBdr>
          <w:bottom w:val="single" w:color="B8860B" w:sz="4"/>
        </w:pBdr>
        <w:spacing w:after="240" w:before="240"/>
      </w:pPr>
      <w:r>
        <w:t xml:space="preserve"/>
      </w:r>
    </w:p>
    <w:p>
      <w:pPr>
        <w:pStyle w:val="Heading1"/>
        <w:spacing w:after="180" w:before="440"/>
      </w:pPr>
      <w:r>
        <w:rPr>
          <w:rFonts w:ascii="Georgia" w:cs="Georgia" w:eastAsia="Georgia" w:hAnsi="Georgia"/>
          <w:b/>
          <w:bCs/>
          <w:color w:val="1A4A2E"/>
          <w:sz w:val="32"/>
          <w:szCs w:val="32"/>
        </w:rPr>
        <w:t xml:space="preserve">Conclusion</w:t>
      </w:r>
    </w:p>
    <w:p>
      <w:pPr>
        <w:spacing w:after="160" w:before="80" w:line="360"/>
        <w:jc w:val="both"/>
      </w:pPr>
      <w:r>
        <w:rPr>
          <w:rFonts w:ascii="Georgia" w:cs="Georgia" w:eastAsia="Georgia" w:hAnsi="Georgia"/>
          <w:sz w:val="22"/>
          <w:szCs w:val="22"/>
        </w:rPr>
        <w:t xml:space="preserve">La cosmologie islamique n'est pas un sujet périphérique. Elle conditionne la cohérence de l'affirmation de l'ʿuluww d'Allah — l'une des doctrines les plus fondamentales de la ʿaqīda — et l'histoire du kalām démontre que l'adoption de cosmologies étrangères à la révélation a toujours généré des pressions doctrinales conduisant à des déviations plus ou moins graves.</w:t>
      </w:r>
    </w:p>
    <w:p>
      <w:pPr>
        <w:spacing w:after="160" w:before="80" w:line="360"/>
        <w:jc w:val="both"/>
      </w:pPr>
      <w:r>
        <w:rPr>
          <w:rFonts w:ascii="Georgia" w:cs="Georgia" w:eastAsia="Georgia" w:hAnsi="Georgia"/>
          <w:sz w:val="22"/>
          <w:szCs w:val="22"/>
        </w:rPr>
        <w:t xml:space="preserve">Les conclusions principales de cette étude sont les suivantes :</w:t>
      </w:r>
    </w:p>
    <w:p>
      <w:pPr>
        <w:spacing w:after="160" w:before="80" w:line="360"/>
        <w:jc w:val="both"/>
      </w:pPr>
      <w:r>
        <w:rPr>
          <w:rFonts w:ascii="Georgia" w:cs="Georgia" w:eastAsia="Georgia" w:hAnsi="Georgia"/>
          <w:sz w:val="22"/>
          <w:szCs w:val="22"/>
        </w:rPr>
        <w:t xml:space="preserve">Premièrement : L'ʿuluww littéral d'Allah est une donnée révélée affirmée par le Coran, la Sunna et l'unanimité des Salaf. Toute cosmologie qui rend cet ʿuluww incohérent génère automatiquement une pression vers le ta'wīl ou le ta'ṭīl.</w:t>
      </w:r>
    </w:p>
    <w:p>
      <w:pPr>
        <w:spacing w:after="160" w:before="80" w:line="360"/>
        <w:jc w:val="both"/>
      </w:pPr>
      <w:r>
        <w:rPr>
          <w:rFonts w:ascii="Georgia" w:cs="Georgia" w:eastAsia="Georgia" w:hAnsi="Georgia"/>
          <w:sz w:val="22"/>
          <w:szCs w:val="22"/>
        </w:rPr>
        <w:t xml:space="preserve">Deuxièmement : La déviance est graduée. Du pur jahmisme (négation de l'essence et des attributs) jusqu'aux Atharīs globistes (ʿuluww affirmé mais cosmologie structurellement incohérente), il existe un spectre. La justice exige de distinguer et de situer chaque courant à son niveau réel.</w:t>
      </w:r>
    </w:p>
    <w:p>
      <w:pPr>
        <w:spacing w:after="160" w:before="80" w:line="360"/>
        <w:jc w:val="both"/>
      </w:pPr>
      <w:r>
        <w:rPr>
          <w:rFonts w:ascii="Georgia" w:cs="Georgia" w:eastAsia="Georgia" w:hAnsi="Georgia"/>
          <w:sz w:val="22"/>
          <w:szCs w:val="22"/>
        </w:rPr>
        <w:t xml:space="preserve">Troisièmement : L'aveu coranique prime absolument sur toute théorie physique. La révélation n'est pas une variable d'ajustement. C'est la théorie qui doit être questionnée lorsqu'elle entre en contradiction avec les textes, non l'inverse.</w:t>
      </w:r>
    </w:p>
    <w:p>
      <w:pPr>
        <w:spacing w:after="160" w:before="80" w:line="360"/>
        <w:jc w:val="both"/>
      </w:pPr>
      <w:r>
        <w:rPr>
          <w:rFonts w:ascii="Georgia" w:cs="Georgia" w:eastAsia="Georgia" w:hAnsi="Georgia"/>
          <w:sz w:val="22"/>
          <w:szCs w:val="22"/>
        </w:rPr>
        <w:t xml:space="preserve">Quatrièmement : Le jugement sur les positions est distinct du jugement sur les personnes. Les conditions du takfīr al-muʿayyan sont strictes et doivent être respectées. Traiter tous les musulmans croyant au globe comme des hérétiques constitue un ghuluww (exagération blâmable) que condamne la méthode des Salaf.</w:t>
      </w:r>
    </w:p>
    <w:p>
      <w:pPr>
        <w:spacing w:after="160" w:before="0"/>
      </w:pPr>
    </w:p>
    <w:p>
      <w:pPr>
        <w:spacing w:after="40" w:before="160"/>
        <w:jc w:val="right"/>
      </w:pPr>
      <w:r>
        <w:rPr>
          <w:rFonts w:ascii="Amiri" w:cs="Amiri" w:eastAsia="Amiri" w:hAnsi="Amiri"/>
          <w:color w:val="8B6914"/>
          <w:sz w:val="24"/>
          <w:szCs w:val="24"/>
        </w:rPr>
        <w:t xml:space="preserve">لَا يَصْلُحُ آخِرُ هَذِهِ الْأُمَّةِ إِلَّا بِمَا صَلَحَ بِهِ أَوَّلُهَا</w:t>
      </w:r>
    </w:p>
    <w:p>
      <w:pPr>
        <w:spacing w:after="40" w:before="0"/>
        <w:jc w:val="center"/>
      </w:pPr>
      <w:r>
        <w:rPr>
          <w:rFonts w:ascii="Georgia" w:cs="Georgia" w:eastAsia="Georgia" w:hAnsi="Georgia"/>
          <w:i/>
          <w:iCs/>
          <w:color w:val="8B6914"/>
          <w:sz w:val="19"/>
          <w:szCs w:val="19"/>
        </w:rPr>
        <w:t xml:space="preserve">Lā yasluḥu ākhiru hādhihi al-umma illā bimā ṣalaḥa bihi awwaluhā</w:t>
      </w:r>
    </w:p>
    <w:p>
      <w:pPr>
        <w:pBdr>
          <w:left w:val="thick" w:color="B8860B" w:sz="8"/>
        </w:pBdr>
        <w:shd w:fill="FDFAF2" w:val="clear"/>
        <w:spacing w:after="40" w:before="40"/>
        <w:ind w:left="480" w:right="480"/>
        <w:jc w:val="both"/>
      </w:pPr>
      <w:r>
        <w:rPr>
          <w:rFonts w:ascii="Georgia" w:cs="Georgia" w:eastAsia="Georgia" w:hAnsi="Georgia"/>
          <w:i/>
          <w:iCs/>
          <w:color w:val="8B6914"/>
          <w:sz w:val="21"/>
          <w:szCs w:val="21"/>
        </w:rPr>
        <w:t xml:space="preserve">« Les derniers de cette communauté ne seront réformés que par ce qui a réformé ses premiers. »</w:t>
      </w:r>
    </w:p>
    <w:p>
      <w:pPr>
        <w:spacing w:after="140" w:before="20"/>
        <w:ind w:right="480"/>
        <w:jc w:val="right"/>
      </w:pPr>
      <w:r>
        <w:rPr>
          <w:rFonts w:ascii="Georgia" w:cs="Georgia" w:eastAsia="Georgia" w:hAnsi="Georgia"/>
          <w:b/>
          <w:bCs/>
          <w:color w:val="8B6914"/>
          <w:sz w:val="19"/>
          <w:szCs w:val="19"/>
        </w:rPr>
        <w:t xml:space="preserve">— Imam Mālik ibn Anas (rahimahullāh)</w:t>
      </w:r>
    </w:p>
    <w:p>
      <w:pPr>
        <w:spacing w:after="160" w:before="80" w:line="360"/>
        <w:jc w:val="both"/>
      </w:pPr>
      <w:r>
        <w:rPr>
          <w:rFonts w:ascii="Georgia" w:cs="Georgia" w:eastAsia="Georgia" w:hAnsi="Georgia"/>
          <w:sz w:val="22"/>
          <w:szCs w:val="22"/>
        </w:rPr>
        <w:t xml:space="preserve">La réforme de la ʿaqīda islamique face aux défis cosmologiques contemporains ne passe pas par l'adoption de nouveaux cadres philosophiques. Elle passe par le retour à la méthode des imams qui ont su, face aux philosophies de leur temps, maintenir la souveraineté épistémologique de la révélation et transmettre la ʿaqīda intacte à leurs successeurs.</w:t>
      </w:r>
    </w:p>
    <w:p>
      <w:pPr>
        <w:spacing w:after="240" w:before="0"/>
      </w:pPr>
    </w:p>
    <w:p>
      <w:pPr>
        <w:spacing w:after="80" w:before="200"/>
        <w:jc w:val="center"/>
      </w:pPr>
      <w:r>
        <w:rPr>
          <w:rFonts w:ascii="Amiri" w:cs="Amiri" w:eastAsia="Amiri" w:hAnsi="Amiri"/>
          <w:color w:val="1F3864"/>
          <w:sz w:val="34"/>
          <w:szCs w:val="34"/>
        </w:rPr>
        <w:t xml:space="preserve">وَاللهُ أَعْلَمُ بِالصَّوَابِ</w:t>
      </w:r>
    </w:p>
    <w:p>
      <w:pPr>
        <w:spacing w:after="60" w:before="60"/>
        <w:jc w:val="center"/>
      </w:pPr>
      <w:r>
        <w:rPr>
          <w:rFonts w:ascii="Amiri" w:cs="Amiri" w:eastAsia="Amiri" w:hAnsi="Amiri"/>
          <w:color w:val="B8860B"/>
          <w:sz w:val="28"/>
          <w:szCs w:val="28"/>
        </w:rPr>
        <w:t xml:space="preserve">ـــــ  ✦  ـــــ</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spacing w:before="80"/>
      <w:jc w:val="center"/>
    </w:pPr>
    <w:r>
      <w:rPr>
        <w:rFonts w:ascii="Amiri" w:cs="Amiri" w:eastAsia="Amiri" w:hAnsi="Amiri"/>
        <w:color w:val="555555"/>
        <w:sz w:val="18"/>
        <w:szCs w:val="18"/>
      </w:rPr>
      <w:t xml:space="preserve">ـــ  ✦  ـــ</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spacing w:after="80"/>
      <w:jc w:val="center"/>
    </w:pPr>
    <w:r>
      <w:rPr>
        <w:rFonts w:ascii="Georgia" w:cs="Georgia" w:eastAsia="Georgia" w:hAnsi="Georgia"/>
        <w:i/>
        <w:iCs/>
        <w:color w:val="555555"/>
        <w:sz w:val="17"/>
        <w:szCs w:val="17"/>
      </w:rPr>
      <w:t xml:space="preserve">ʿUluww d'Allah et Cosmologie — Terre Plate, Globe et Déviations Kalāmiques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Georgia" w:cs="Georgia" w:eastAsia="Georgia" w:hAnsi="Georgia"/>
      <w:b/>
      <w:bCs/>
      <w:color w:val="1A4A2E"/>
      <w:sz w:val="32"/>
      <w:szCs w:val="32"/>
    </w:rPr>
  </w:style>
  <w:style w:type="paragraph" w:styleId="Heading2">
    <w:name w:val="Heading 2"/>
    <w:basedOn w:val="Normal"/>
    <w:next w:val="Normal"/>
    <w:qFormat/>
    <w:pPr>
      <w:spacing w:after="140" w:before="300"/>
      <w:outlineLvl w:val="1"/>
    </w:pPr>
    <w:rPr>
      <w:rFonts w:ascii="Georgia" w:cs="Georgia" w:eastAsia="Georgia" w:hAnsi="Georgia"/>
      <w:b/>
      <w:bCs/>
      <w:color w:val="1F3864"/>
      <w:sz w:val="26"/>
      <w:szCs w:val="26"/>
    </w:rPr>
  </w:style>
  <w:style w:type="paragraph" w:styleId="Heading3">
    <w:name w:val="Heading 3"/>
    <w:basedOn w:val="Normal"/>
    <w:next w:val="Normal"/>
    <w:qFormat/>
    <w:pPr>
      <w:spacing w:after="100" w:before="220"/>
      <w:outlineLvl w:val="2"/>
    </w:pPr>
    <w:rPr>
      <w:rFonts w:ascii="Georgia" w:cs="Georgia" w:eastAsia="Georgia" w:hAnsi="Georgia"/>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2026-04-06T21:27:22.685Z</dcterms:created>
  <dcterms:modified xsi:type="dcterms:W3CDTF">2026-04-06T21:27:22.686Z</dcterms:modified>
</cp:coreProperties>
</file>

<file path=docProps/custom.xml><?xml version="1.0" encoding="utf-8"?>
<Properties xmlns="http://schemas.openxmlformats.org/officeDocument/2006/custom-properties" xmlns:vt="http://schemas.openxmlformats.org/officeDocument/2006/docPropsVTypes"/>
</file>