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 Agreement - Standard Terms</w:t>
      </w:r>
    </w:p>
    <w:p>
      <w:pPr>
        <w:pStyle w:val="Heading1"/>
      </w:pPr>
      <w:r>
        <w:t>1. Term and Renewal</w:t>
      </w:r>
    </w:p>
    <w:p>
      <w:r>
        <w:t>The initial term is 12 months. The agreement renews automatically for successive 12-month terms unless either party gives written notice of non-renewal at least 60 days before the end of the current term.</w:t>
      </w:r>
    </w:p>
    <w:p>
      <w:pPr>
        <w:pStyle w:val="Heading1"/>
      </w:pPr>
      <w:r>
        <w:t>2. Termination</w:t>
      </w:r>
    </w:p>
    <w:p>
      <w:r>
        <w:t>Either party may terminate for convenience with 90 days written notice, except for Multi-year customers who are committed for the full term. Either party may terminate for cause if a material breach is not cured within 30 days of notice.</w:t>
      </w:r>
    </w:p>
    <w:p>
      <w:pPr>
        <w:pStyle w:val="Heading1"/>
      </w:pPr>
      <w:r>
        <w:t>3. Fees and Price Adjustments</w:t>
      </w:r>
    </w:p>
    <w:p>
      <w:r>
        <w:t>Fees are subject to an annual price increase of 5 percent applied at each renewal. Invoices are payable Net 30 from the invoice date.</w:t>
      </w:r>
    </w:p>
    <w:p>
      <w:pPr>
        <w:pStyle w:val="Heading1"/>
      </w:pPr>
      <w:r>
        <w:t>4. Limitation of Liability</w:t>
      </w:r>
    </w:p>
    <w:p>
      <w:r>
        <w:t>Each party's aggregate liability is capped at the fees paid in the preceding 12 months.</w:t>
      </w:r>
    </w:p>
    <w:p>
      <w:pPr>
        <w:pStyle w:val="Heading1"/>
      </w:pPr>
      <w:r>
        <w:t>5. Data Protection and Retention</w:t>
      </w:r>
    </w:p>
    <w:p>
      <w:r>
        <w:t>Customer data is deleted within 30 days after termination. Personal data is processed under the Data Processing Addendum. The provider must notify the customer of a personal data breach within 72 hours.</w:t>
      </w:r>
    </w:p>
    <w:p>
      <w:pPr>
        <w:pStyle w:val="Heading1"/>
      </w:pPr>
      <w:r>
        <w:t>6. Service Levels</w:t>
      </w:r>
    </w:p>
    <w:p>
      <w:r>
        <w:t>The service commits to 99.9 percent monthly uptime. If uptime falls below 99.9 percent a 10 percent service credit applies; below 99.0 percent a 25 percent credit applies.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