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Q3 Account Review Report</w:t>
      </w:r>
    </w:p>
    <w:p>
      <w:pPr>
        <w:pStyle w:val="Heading1"/>
      </w:pPr>
      <w:r>
        <w:t>1. Executive Summary</w:t>
      </w:r>
    </w:p>
    <w:p>
      <w:r>
        <w:t>The overall customer churn rate in the portfolio is 27.1%. Across 3,000 accounts, Retail and Manufacturing show the highest churn at 41.6% and 39.9% respectively. Annual contract value of churned accounts totals 71.8 million USD.</w:t>
      </w:r>
    </w:p>
    <w:p>
      <w:pPr>
        <w:pStyle w:val="Heading1"/>
      </w:pPr>
      <w:r>
        <w:t>2. Key Churn Drivers</w:t>
      </w:r>
    </w:p>
    <w:p>
      <w:r>
        <w:t>Analysis of churned accounts shows four recurring drivers: repeated SLA breaches, three or more late payments in twelve months, declining product usage, and active competitor mentions. Accounts on Monthly contracts churn far more often than Multi-year accounts.</w:t>
      </w:r>
    </w:p>
    <w:p>
      <w:pPr>
        <w:pStyle w:val="Heading1"/>
      </w:pPr>
      <w:r>
        <w:t>3. Recommendations from Leadership Review</w:t>
      </w:r>
    </w:p>
    <w:p>
      <w:r>
        <w:t>Leadership asked Customer Success to prioritise High Risk accounts by revenue at risk, assign executive sponsors to all accounts above 100,000 USD, and coordinate with Finance on Credit Watch accounts before any discount is offered.</w:t>
      </w:r>
    </w:p>
    <w:p>
      <w:pPr>
        <w:pStyle w:val="Heading1"/>
      </w:pPr>
      <w:r>
        <w:t>4. Churn Rate by Industry</w:t>
      </w:r>
    </w:p>
    <w:tbl>
      <w:tblPr>
        <w:tblStyle w:val="LightGrid-Accent1"/>
        <w:tblW w:type="auto" w:w="0"/>
        <w:tblLook w:firstColumn="1" w:firstRow="1" w:lastColumn="0" w:lastRow="0" w:noHBand="0" w:noVBand="1" w:val="04A0"/>
      </w:tblPr>
      <w:tblGrid>
        <w:gridCol w:w="4320"/>
        <w:gridCol w:w="4320"/>
      </w:tblGrid>
      <w:tr>
        <w:tc>
          <w:tcPr>
            <w:tcW w:type="dxa" w:w="4320"/>
          </w:tcPr>
          <w:p>
            <w:r>
              <w:t>Industry</w:t>
            </w:r>
          </w:p>
        </w:tc>
        <w:tc>
          <w:tcPr>
            <w:tcW w:type="dxa" w:w="4320"/>
          </w:tcPr>
          <w:p>
            <w:r>
              <w:t>Churn rate</w:t>
            </w:r>
          </w:p>
        </w:tc>
      </w:tr>
      <w:tr>
        <w:tc>
          <w:tcPr>
            <w:tcW w:type="dxa" w:w="4320"/>
          </w:tcPr>
          <w:p>
            <w:r>
              <w:t>Retail</w:t>
            </w:r>
          </w:p>
        </w:tc>
        <w:tc>
          <w:tcPr>
            <w:tcW w:type="dxa" w:w="4320"/>
          </w:tcPr>
          <w:p>
            <w:r>
              <w:t>41.6%</w:t>
            </w:r>
          </w:p>
        </w:tc>
      </w:tr>
      <w:tr>
        <w:tc>
          <w:tcPr>
            <w:tcW w:type="dxa" w:w="4320"/>
          </w:tcPr>
          <w:p>
            <w:r>
              <w:t>Manufacturing</w:t>
            </w:r>
          </w:p>
        </w:tc>
        <w:tc>
          <w:tcPr>
            <w:tcW w:type="dxa" w:w="4320"/>
          </w:tcPr>
          <w:p>
            <w:r>
              <w:t>39.9%</w:t>
            </w:r>
          </w:p>
        </w:tc>
      </w:tr>
      <w:tr>
        <w:tc>
          <w:tcPr>
            <w:tcW w:type="dxa" w:w="4320"/>
          </w:tcPr>
          <w:p>
            <w:r>
              <w:t>Logistics</w:t>
            </w:r>
          </w:p>
        </w:tc>
        <w:tc>
          <w:tcPr>
            <w:tcW w:type="dxa" w:w="4320"/>
          </w:tcPr>
          <w:p>
            <w:r>
              <w:t>26.1%</w:t>
            </w:r>
          </w:p>
        </w:tc>
      </w:tr>
      <w:tr>
        <w:tc>
          <w:tcPr>
            <w:tcW w:type="dxa" w:w="4320"/>
          </w:tcPr>
          <w:p>
            <w:r>
              <w:t>Education</w:t>
            </w:r>
          </w:p>
        </w:tc>
        <w:tc>
          <w:tcPr>
            <w:tcW w:type="dxa" w:w="4320"/>
          </w:tcPr>
          <w:p>
            <w:r>
              <w:t>23.0%</w:t>
            </w:r>
          </w:p>
        </w:tc>
      </w:tr>
      <w:tr>
        <w:tc>
          <w:tcPr>
            <w:tcW w:type="dxa" w:w="4320"/>
          </w:tcPr>
          <w:p>
            <w:r>
              <w:t>Technology</w:t>
            </w:r>
          </w:p>
        </w:tc>
        <w:tc>
          <w:tcPr>
            <w:tcW w:type="dxa" w:w="4320"/>
          </w:tcPr>
          <w:p>
            <w:r>
              <w:t>17.8%</w:t>
            </w:r>
          </w:p>
        </w:tc>
      </w:tr>
      <w:tr>
        <w:tc>
          <w:tcPr>
            <w:tcW w:type="dxa" w:w="4320"/>
          </w:tcPr>
          <w:p>
            <w:r>
              <w:t>Finance</w:t>
            </w:r>
          </w:p>
        </w:tc>
        <w:tc>
          <w:tcPr>
            <w:tcW w:type="dxa" w:w="4320"/>
          </w:tcPr>
          <w:p>
            <w:r>
              <w:t>17.7%</w:t>
            </w:r>
          </w:p>
        </w:tc>
      </w:tr>
      <w:tr>
        <w:tc>
          <w:tcPr>
            <w:tcW w:type="dxa" w:w="4320"/>
          </w:tcPr>
          <w:p>
            <w:r>
              <w:t>Healthcare</w:t>
            </w:r>
          </w:p>
        </w:tc>
        <w:tc>
          <w:tcPr>
            <w:tcW w:type="dxa" w:w="4320"/>
          </w:tcPr>
          <w:p>
            <w:r>
              <w:t>16.8%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