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Risk Report</w:t>
      </w:r>
    </w:p>
    <w:p>
      <w:r>
        <w:t>Generated 2026-10-22 18:37 by the Enterprise Intelligence Platform</w:t>
      </w:r>
    </w:p>
    <w:p>
      <w:pPr>
        <w:pStyle w:val="Heading1"/>
      </w:pPr>
      <w:r>
        <w:t>1. Executive summary</w:t>
      </w:r>
    </w:p>
    <w:p>
      <w:r>
        <w:t>3,000 customers; actual churn 27.1%; High/Medium/Low = 432/600/1968; expected annual revenue loss $70,998,770 of $320,778,600 ACV.</w:t>
      </w:r>
    </w:p>
    <w:p>
      <w:r>
        <w:t>Highest churn by industry: Retail (41.6%, 500 customers); lowest: Healthcare (16.8%).</w:t>
      </w:r>
    </w:p>
    <w:p>
      <w:r>
        <w:t>Expected annual revenue loss $70,998,770; High-risk accounts hold $29,155,200 ACV (432 customers). Largest by industry: Manufacturing ($21,304,033).</w:t>
      </w:r>
    </w:p>
    <w:p>
      <w:pPr>
        <w:pStyle w:val="Heading1"/>
      </w:pPr>
      <w:r>
        <w:t>2. Portfolio KPIs</w:t>
      </w:r>
    </w:p>
    <w:p>
      <w:r>
        <w:t>customers: 3000</w:t>
      </w:r>
    </w:p>
    <w:p>
      <w:r>
        <w:t>actual_churn_rate: 0.2713</w:t>
      </w:r>
    </w:p>
    <w:p>
      <w:r>
        <w:t>avg_predicted_churn: 0.2693</w:t>
      </w:r>
    </w:p>
    <w:p>
      <w:r>
        <w:t>total_acv: 320778600.0</w:t>
      </w:r>
    </w:p>
    <w:p>
      <w:r>
        <w:t>expected_loss: 70998769.98753342</w:t>
      </w:r>
    </w:p>
    <w:p>
      <w:r>
        <w:t>tier_counts: {'Low': 1968, 'Medium': 600, 'High': 432}</w:t>
      </w:r>
    </w:p>
    <w:p>
      <w:pPr>
        <w:pStyle w:val="Heading1"/>
      </w:pPr>
      <w:r>
        <w:t>3. Churn by industry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industry</w:t>
            </w:r>
          </w:p>
        </w:tc>
        <w:tc>
          <w:tcPr>
            <w:tcW w:type="dxa" w:w="1728"/>
          </w:tcPr>
          <w:p>
            <w:r>
              <w:t>customers</w:t>
            </w:r>
          </w:p>
        </w:tc>
        <w:tc>
          <w:tcPr>
            <w:tcW w:type="dxa" w:w="1728"/>
          </w:tcPr>
          <w:p>
            <w:r>
              <w:t>actual_churn_rate</w:t>
            </w:r>
          </w:p>
        </w:tc>
        <w:tc>
          <w:tcPr>
            <w:tcW w:type="dxa" w:w="1728"/>
          </w:tcPr>
          <w:p>
            <w:r>
              <w:t>avg_predicted_churn</w:t>
            </w:r>
          </w:p>
        </w:tc>
        <w:tc>
          <w:tcPr>
            <w:tcW w:type="dxa" w:w="1728"/>
          </w:tcPr>
          <w:p>
            <w:r>
              <w:t>total_acv</w:t>
            </w:r>
          </w:p>
        </w:tc>
      </w:tr>
      <w:tr>
        <w:tc>
          <w:tcPr>
            <w:tcW w:type="dxa" w:w="1728"/>
          </w:tcPr>
          <w:p>
            <w:r>
              <w:t>Retail</w:t>
            </w:r>
          </w:p>
        </w:tc>
        <w:tc>
          <w:tcPr>
            <w:tcW w:type="dxa" w:w="1728"/>
          </w:tcPr>
          <w:p>
            <w:r>
              <w:t>500</w:t>
            </w:r>
          </w:p>
        </w:tc>
        <w:tc>
          <w:tcPr>
            <w:tcW w:type="dxa" w:w="1728"/>
          </w:tcPr>
          <w:p>
            <w:r>
              <w:t>0.42</w:t>
            </w:r>
          </w:p>
        </w:tc>
        <w:tc>
          <w:tcPr>
            <w:tcW w:type="dxa" w:w="1728"/>
          </w:tcPr>
          <w:p>
            <w:r>
              <w:t>0.42</w:t>
            </w:r>
          </w:p>
        </w:tc>
        <w:tc>
          <w:tcPr>
            <w:tcW w:type="dxa" w:w="1728"/>
          </w:tcPr>
          <w:p>
            <w:r>
              <w:t>59,549,200.00</w:t>
            </w:r>
          </w:p>
        </w:tc>
      </w:tr>
      <w:tr>
        <w:tc>
          <w:tcPr>
            <w:tcW w:type="dxa" w:w="1728"/>
          </w:tcPr>
          <w:p>
            <w:r>
              <w:t>Manufacturing</w:t>
            </w:r>
          </w:p>
        </w:tc>
        <w:tc>
          <w:tcPr>
            <w:tcW w:type="dxa" w:w="1728"/>
          </w:tcPr>
          <w:p>
            <w:r>
              <w:t>557</w:t>
            </w:r>
          </w:p>
        </w:tc>
        <w:tc>
          <w:tcPr>
            <w:tcW w:type="dxa" w:w="1728"/>
          </w:tcPr>
          <w:p>
            <w:r>
              <w:t>0.40</w:t>
            </w:r>
          </w:p>
        </w:tc>
        <w:tc>
          <w:tcPr>
            <w:tcW w:type="dxa" w:w="1728"/>
          </w:tcPr>
          <w:p>
            <w:r>
              <w:t>0.38</w:t>
            </w:r>
          </w:p>
        </w:tc>
        <w:tc>
          <w:tcPr>
            <w:tcW w:type="dxa" w:w="1728"/>
          </w:tcPr>
          <w:p>
            <w:r>
              <w:t>67,243,300.00</w:t>
            </w:r>
          </w:p>
        </w:tc>
      </w:tr>
      <w:tr>
        <w:tc>
          <w:tcPr>
            <w:tcW w:type="dxa" w:w="1728"/>
          </w:tcPr>
          <w:p>
            <w:r>
              <w:t>Logistics</w:t>
            </w:r>
          </w:p>
        </w:tc>
        <w:tc>
          <w:tcPr>
            <w:tcW w:type="dxa" w:w="1728"/>
          </w:tcPr>
          <w:p>
            <w:r>
              <w:t>353</w:t>
            </w:r>
          </w:p>
        </w:tc>
        <w:tc>
          <w:tcPr>
            <w:tcW w:type="dxa" w:w="1728"/>
          </w:tcPr>
          <w:p>
            <w:r>
              <w:t>0.26</w:t>
            </w:r>
          </w:p>
        </w:tc>
        <w:tc>
          <w:tcPr>
            <w:tcW w:type="dxa" w:w="1728"/>
          </w:tcPr>
          <w:p>
            <w:r>
              <w:t>0.26</w:t>
            </w:r>
          </w:p>
        </w:tc>
        <w:tc>
          <w:tcPr>
            <w:tcW w:type="dxa" w:w="1728"/>
          </w:tcPr>
          <w:p>
            <w:r>
              <w:t>28,407,900.00</w:t>
            </w:r>
          </w:p>
        </w:tc>
      </w:tr>
      <w:tr>
        <w:tc>
          <w:tcPr>
            <w:tcW w:type="dxa" w:w="1728"/>
          </w:tcPr>
          <w:p>
            <w:r>
              <w:t>Education</w:t>
            </w:r>
          </w:p>
        </w:tc>
        <w:tc>
          <w:tcPr>
            <w:tcW w:type="dxa" w:w="1728"/>
          </w:tcPr>
          <w:p>
            <w:r>
              <w:t>256</w:t>
            </w:r>
          </w:p>
        </w:tc>
        <w:tc>
          <w:tcPr>
            <w:tcW w:type="dxa" w:w="1728"/>
          </w:tcPr>
          <w:p>
            <w:r>
              <w:t>0.23</w:t>
            </w:r>
          </w:p>
        </w:tc>
        <w:tc>
          <w:tcPr>
            <w:tcW w:type="dxa" w:w="1728"/>
          </w:tcPr>
          <w:p>
            <w:r>
              <w:t>0.22</w:t>
            </w:r>
          </w:p>
        </w:tc>
        <w:tc>
          <w:tcPr>
            <w:tcW w:type="dxa" w:w="1728"/>
          </w:tcPr>
          <w:p>
            <w:r>
              <w:t>20,454,700.00</w:t>
            </w:r>
          </w:p>
        </w:tc>
      </w:tr>
      <w:tr>
        <w:tc>
          <w:tcPr>
            <w:tcW w:type="dxa" w:w="1728"/>
          </w:tcPr>
          <w:p>
            <w:r>
              <w:t>Technology</w:t>
            </w:r>
          </w:p>
        </w:tc>
        <w:tc>
          <w:tcPr>
            <w:tcW w:type="dxa" w:w="1728"/>
          </w:tcPr>
          <w:p>
            <w:r>
              <w:t>494</w:t>
            </w:r>
          </w:p>
        </w:tc>
        <w:tc>
          <w:tcPr>
            <w:tcW w:type="dxa" w:w="1728"/>
          </w:tcPr>
          <w:p>
            <w:r>
              <w:t>0.18</w:t>
            </w:r>
          </w:p>
        </w:tc>
        <w:tc>
          <w:tcPr>
            <w:tcW w:type="dxa" w:w="1728"/>
          </w:tcPr>
          <w:p>
            <w:r>
              <w:t>0.19</w:t>
            </w:r>
          </w:p>
        </w:tc>
        <w:tc>
          <w:tcPr>
            <w:tcW w:type="dxa" w:w="1728"/>
          </w:tcPr>
          <w:p>
            <w:r>
              <w:t>51,519,000.00</w:t>
            </w:r>
          </w:p>
        </w:tc>
      </w:tr>
      <w:tr>
        <w:tc>
          <w:tcPr>
            <w:tcW w:type="dxa" w:w="1728"/>
          </w:tcPr>
          <w:p>
            <w:r>
              <w:t>Finance</w:t>
            </w:r>
          </w:p>
        </w:tc>
        <w:tc>
          <w:tcPr>
            <w:tcW w:type="dxa" w:w="1728"/>
          </w:tcPr>
          <w:p>
            <w:r>
              <w:t>417</w:t>
            </w:r>
          </w:p>
        </w:tc>
        <w:tc>
          <w:tcPr>
            <w:tcW w:type="dxa" w:w="1728"/>
          </w:tcPr>
          <w:p>
            <w:r>
              <w:t>0.18</w:t>
            </w:r>
          </w:p>
        </w:tc>
        <w:tc>
          <w:tcPr>
            <w:tcW w:type="dxa" w:w="1728"/>
          </w:tcPr>
          <w:p>
            <w:r>
              <w:t>0.17</w:t>
            </w:r>
          </w:p>
        </w:tc>
        <w:tc>
          <w:tcPr>
            <w:tcW w:type="dxa" w:w="1728"/>
          </w:tcPr>
          <w:p>
            <w:r>
              <w:t>51,427,600.00</w:t>
            </w:r>
          </w:p>
        </w:tc>
      </w:tr>
      <w:tr>
        <w:tc>
          <w:tcPr>
            <w:tcW w:type="dxa" w:w="1728"/>
          </w:tcPr>
          <w:p>
            <w:r>
              <w:t>Healthcare</w:t>
            </w:r>
          </w:p>
        </w:tc>
        <w:tc>
          <w:tcPr>
            <w:tcW w:type="dxa" w:w="1728"/>
          </w:tcPr>
          <w:p>
            <w:r>
              <w:t>423</w:t>
            </w:r>
          </w:p>
        </w:tc>
        <w:tc>
          <w:tcPr>
            <w:tcW w:type="dxa" w:w="1728"/>
          </w:tcPr>
          <w:p>
            <w:r>
              <w:t>0.17</w:t>
            </w:r>
          </w:p>
        </w:tc>
        <w:tc>
          <w:tcPr>
            <w:tcW w:type="dxa" w:w="1728"/>
          </w:tcPr>
          <w:p>
            <w:r>
              <w:t>0.18</w:t>
            </w:r>
          </w:p>
        </w:tc>
        <w:tc>
          <w:tcPr>
            <w:tcW w:type="dxa" w:w="1728"/>
          </w:tcPr>
          <w:p>
            <w:r>
              <w:t>42,176,900.00</w:t>
            </w:r>
          </w:p>
        </w:tc>
      </w:tr>
    </w:tbl>
    <w:p>
      <w:pPr>
        <w:pStyle w:val="Heading1"/>
      </w:pPr>
      <w:r>
        <w:t>4. Revenue at risk by industry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industry</w:t>
            </w:r>
          </w:p>
        </w:tc>
        <w:tc>
          <w:tcPr>
            <w:tcW w:type="dxa" w:w="2160"/>
          </w:tcPr>
          <w:p>
            <w:r>
              <w:t>customers</w:t>
            </w:r>
          </w:p>
        </w:tc>
        <w:tc>
          <w:tcPr>
            <w:tcW w:type="dxa" w:w="2160"/>
          </w:tcPr>
          <w:p>
            <w:r>
              <w:t>total_acv</w:t>
            </w:r>
          </w:p>
        </w:tc>
        <w:tc>
          <w:tcPr>
            <w:tcW w:type="dxa" w:w="2160"/>
          </w:tcPr>
          <w:p>
            <w:r>
              <w:t>expected_loss</w:t>
            </w:r>
          </w:p>
        </w:tc>
      </w:tr>
      <w:tr>
        <w:tc>
          <w:tcPr>
            <w:tcW w:type="dxa" w:w="2160"/>
          </w:tcPr>
          <w:p>
            <w:r>
              <w:t>Manufacturing</w:t>
            </w:r>
          </w:p>
        </w:tc>
        <w:tc>
          <w:tcPr>
            <w:tcW w:type="dxa" w:w="2160"/>
          </w:tcPr>
          <w:p>
            <w:r>
              <w:t>557</w:t>
            </w:r>
          </w:p>
        </w:tc>
        <w:tc>
          <w:tcPr>
            <w:tcW w:type="dxa" w:w="2160"/>
          </w:tcPr>
          <w:p>
            <w:r>
              <w:t>67,243,300.00</w:t>
            </w:r>
          </w:p>
        </w:tc>
        <w:tc>
          <w:tcPr>
            <w:tcW w:type="dxa" w:w="2160"/>
          </w:tcPr>
          <w:p>
            <w:r>
              <w:t>21,304,032.80</w:t>
            </w:r>
          </w:p>
        </w:tc>
      </w:tr>
      <w:tr>
        <w:tc>
          <w:tcPr>
            <w:tcW w:type="dxa" w:w="2160"/>
          </w:tcPr>
          <w:p>
            <w:r>
              <w:t>Retail</w:t>
            </w:r>
          </w:p>
        </w:tc>
        <w:tc>
          <w:tcPr>
            <w:tcW w:type="dxa" w:w="2160"/>
          </w:tcPr>
          <w:p>
            <w:r>
              <w:t>500</w:t>
            </w:r>
          </w:p>
        </w:tc>
        <w:tc>
          <w:tcPr>
            <w:tcW w:type="dxa" w:w="2160"/>
          </w:tcPr>
          <w:p>
            <w:r>
              <w:t>59,549,200.00</w:t>
            </w:r>
          </w:p>
        </w:tc>
        <w:tc>
          <w:tcPr>
            <w:tcW w:type="dxa" w:w="2160"/>
          </w:tcPr>
          <w:p>
            <w:r>
              <w:t>19,986,631.06</w:t>
            </w:r>
          </w:p>
        </w:tc>
      </w:tr>
      <w:tr>
        <w:tc>
          <w:tcPr>
            <w:tcW w:type="dxa" w:w="2160"/>
          </w:tcPr>
          <w:p>
            <w:r>
              <w:t>Technology</w:t>
            </w:r>
          </w:p>
        </w:tc>
        <w:tc>
          <w:tcPr>
            <w:tcW w:type="dxa" w:w="2160"/>
          </w:tcPr>
          <w:p>
            <w:r>
              <w:t>494</w:t>
            </w:r>
          </w:p>
        </w:tc>
        <w:tc>
          <w:tcPr>
            <w:tcW w:type="dxa" w:w="2160"/>
          </w:tcPr>
          <w:p>
            <w:r>
              <w:t>51,519,000.00</w:t>
            </w:r>
          </w:p>
        </w:tc>
        <w:tc>
          <w:tcPr>
            <w:tcW w:type="dxa" w:w="2160"/>
          </w:tcPr>
          <w:p>
            <w:r>
              <w:t>7,867,760.91</w:t>
            </w:r>
          </w:p>
        </w:tc>
      </w:tr>
      <w:tr>
        <w:tc>
          <w:tcPr>
            <w:tcW w:type="dxa" w:w="2160"/>
          </w:tcPr>
          <w:p>
            <w:r>
              <w:t>Logistics</w:t>
            </w:r>
          </w:p>
        </w:tc>
        <w:tc>
          <w:tcPr>
            <w:tcW w:type="dxa" w:w="2160"/>
          </w:tcPr>
          <w:p>
            <w:r>
              <w:t>353</w:t>
            </w:r>
          </w:p>
        </w:tc>
        <w:tc>
          <w:tcPr>
            <w:tcW w:type="dxa" w:w="2160"/>
          </w:tcPr>
          <w:p>
            <w:r>
              <w:t>28,407,900.00</w:t>
            </w:r>
          </w:p>
        </w:tc>
        <w:tc>
          <w:tcPr>
            <w:tcW w:type="dxa" w:w="2160"/>
          </w:tcPr>
          <w:p>
            <w:r>
              <w:t>6,456,294.15</w:t>
            </w:r>
          </w:p>
        </w:tc>
      </w:tr>
      <w:tr>
        <w:tc>
          <w:tcPr>
            <w:tcW w:type="dxa" w:w="2160"/>
          </w:tcPr>
          <w:p>
            <w:r>
              <w:t>Finance</w:t>
            </w:r>
          </w:p>
        </w:tc>
        <w:tc>
          <w:tcPr>
            <w:tcW w:type="dxa" w:w="2160"/>
          </w:tcPr>
          <w:p>
            <w:r>
              <w:t>417</w:t>
            </w:r>
          </w:p>
        </w:tc>
        <w:tc>
          <w:tcPr>
            <w:tcW w:type="dxa" w:w="2160"/>
          </w:tcPr>
          <w:p>
            <w:r>
              <w:t>51,427,600.00</w:t>
            </w:r>
          </w:p>
        </w:tc>
        <w:tc>
          <w:tcPr>
            <w:tcW w:type="dxa" w:w="2160"/>
          </w:tcPr>
          <w:p>
            <w:r>
              <w:t>5,897,450.23</w:t>
            </w:r>
          </w:p>
        </w:tc>
      </w:tr>
      <w:tr>
        <w:tc>
          <w:tcPr>
            <w:tcW w:type="dxa" w:w="2160"/>
          </w:tcPr>
          <w:p>
            <w:r>
              <w:t>Healthcare</w:t>
            </w:r>
          </w:p>
        </w:tc>
        <w:tc>
          <w:tcPr>
            <w:tcW w:type="dxa" w:w="2160"/>
          </w:tcPr>
          <w:p>
            <w:r>
              <w:t>423</w:t>
            </w:r>
          </w:p>
        </w:tc>
        <w:tc>
          <w:tcPr>
            <w:tcW w:type="dxa" w:w="2160"/>
          </w:tcPr>
          <w:p>
            <w:r>
              <w:t>42,176,900.00</w:t>
            </w:r>
          </w:p>
        </w:tc>
        <w:tc>
          <w:tcPr>
            <w:tcW w:type="dxa" w:w="2160"/>
          </w:tcPr>
          <w:p>
            <w:r>
              <w:t>5,217,475.61</w:t>
            </w:r>
          </w:p>
        </w:tc>
      </w:tr>
      <w:tr>
        <w:tc>
          <w:tcPr>
            <w:tcW w:type="dxa" w:w="2160"/>
          </w:tcPr>
          <w:p>
            <w:r>
              <w:t>Education</w:t>
            </w:r>
          </w:p>
        </w:tc>
        <w:tc>
          <w:tcPr>
            <w:tcW w:type="dxa" w:w="2160"/>
          </w:tcPr>
          <w:p>
            <w:r>
              <w:t>256</w:t>
            </w:r>
          </w:p>
        </w:tc>
        <w:tc>
          <w:tcPr>
            <w:tcW w:type="dxa" w:w="2160"/>
          </w:tcPr>
          <w:p>
            <w:r>
              <w:t>20,454,700.00</w:t>
            </w:r>
          </w:p>
        </w:tc>
        <w:tc>
          <w:tcPr>
            <w:tcW w:type="dxa" w:w="2160"/>
          </w:tcPr>
          <w:p>
            <w:r>
              <w:t>4,269,125.23</w:t>
            </w:r>
          </w:p>
        </w:tc>
      </w:tr>
    </w:tbl>
    <w:p>
      <w:pPr>
        <w:pStyle w:val="Heading1"/>
      </w:pPr>
      <w:r>
        <w:t>5. Top 10 at-risk accounts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customer_id</w:t>
            </w:r>
          </w:p>
        </w:tc>
        <w:tc>
          <w:tcPr>
            <w:tcW w:type="dxa" w:w="1080"/>
          </w:tcPr>
          <w:p>
            <w:r>
              <w:t>industry</w:t>
            </w:r>
          </w:p>
        </w:tc>
        <w:tc>
          <w:tcPr>
            <w:tcW w:type="dxa" w:w="1080"/>
          </w:tcPr>
          <w:p>
            <w:r>
              <w:t>region</w:t>
            </w:r>
          </w:p>
        </w:tc>
        <w:tc>
          <w:tcPr>
            <w:tcW w:type="dxa" w:w="1080"/>
          </w:tcPr>
          <w:p>
            <w:r>
              <w:t>company_size</w:t>
            </w:r>
          </w:p>
        </w:tc>
        <w:tc>
          <w:tcPr>
            <w:tcW w:type="dxa" w:w="1080"/>
          </w:tcPr>
          <w:p>
            <w:r>
              <w:t>annual_contract_value</w:t>
            </w:r>
          </w:p>
        </w:tc>
        <w:tc>
          <w:tcPr>
            <w:tcW w:type="dxa" w:w="1080"/>
          </w:tcPr>
          <w:p>
            <w:r>
              <w:t>churn_probability</w:t>
            </w:r>
          </w:p>
        </w:tc>
        <w:tc>
          <w:tcPr>
            <w:tcW w:type="dxa" w:w="1080"/>
          </w:tcPr>
          <w:p>
            <w:r>
              <w:t>risk_tier</w:t>
            </w:r>
          </w:p>
        </w:tc>
        <w:tc>
          <w:tcPr>
            <w:tcW w:type="dxa" w:w="1080"/>
          </w:tcPr>
          <w:p>
            <w:r>
              <w:t>expected_loss</w:t>
            </w:r>
          </w:p>
        </w:tc>
      </w:tr>
      <w:tr>
        <w:tc>
          <w:tcPr>
            <w:tcW w:type="dxa" w:w="1080"/>
          </w:tcPr>
          <w:p>
            <w:r>
              <w:t>C0085</w:t>
            </w:r>
          </w:p>
        </w:tc>
        <w:tc>
          <w:tcPr>
            <w:tcW w:type="dxa" w:w="1080"/>
          </w:tcPr>
          <w:p>
            <w:r>
              <w:t>Manufacturing</w:t>
            </w:r>
          </w:p>
        </w:tc>
        <w:tc>
          <w:tcPr>
            <w:tcW w:type="dxa" w:w="1080"/>
          </w:tcPr>
          <w:p>
            <w:r>
              <w:t>APAC</w:t>
            </w:r>
          </w:p>
        </w:tc>
        <w:tc>
          <w:tcPr>
            <w:tcW w:type="dxa" w:w="1080"/>
          </w:tcPr>
          <w:p>
            <w:r>
              <w:t>SMB</w:t>
            </w:r>
          </w:p>
        </w:tc>
        <w:tc>
          <w:tcPr>
            <w:tcW w:type="dxa" w:w="1080"/>
          </w:tcPr>
          <w:p>
            <w:r>
              <w:t>20,500.00</w:t>
            </w:r>
          </w:p>
        </w:tc>
        <w:tc>
          <w:tcPr>
            <w:tcW w:type="dxa" w:w="1080"/>
          </w:tcPr>
          <w:p>
            <w:r>
              <w:t>1.00</w:t>
            </w:r>
          </w:p>
        </w:tc>
        <w:tc>
          <w:tcPr>
            <w:tcW w:type="dxa" w:w="1080"/>
          </w:tcPr>
          <w:p>
            <w:r>
              <w:t>High</w:t>
            </w:r>
          </w:p>
        </w:tc>
        <w:tc>
          <w:tcPr>
            <w:tcW w:type="dxa" w:w="1080"/>
          </w:tcPr>
          <w:p>
            <w:r>
              <w:t>20,400.98</w:t>
            </w:r>
          </w:p>
        </w:tc>
      </w:tr>
      <w:tr>
        <w:tc>
          <w:tcPr>
            <w:tcW w:type="dxa" w:w="1080"/>
          </w:tcPr>
          <w:p>
            <w:r>
              <w:t>C1572</w:t>
            </w:r>
          </w:p>
        </w:tc>
        <w:tc>
          <w:tcPr>
            <w:tcW w:type="dxa" w:w="1080"/>
          </w:tcPr>
          <w:p>
            <w:r>
              <w:t>Finance</w:t>
            </w:r>
          </w:p>
        </w:tc>
        <w:tc>
          <w:tcPr>
            <w:tcW w:type="dxa" w:w="1080"/>
          </w:tcPr>
          <w:p>
            <w:r>
              <w:t>APAC</w:t>
            </w:r>
          </w:p>
        </w:tc>
        <w:tc>
          <w:tcPr>
            <w:tcW w:type="dxa" w:w="1080"/>
          </w:tcPr>
          <w:p>
            <w:r>
              <w:t>Enterprise</w:t>
            </w:r>
          </w:p>
        </w:tc>
        <w:tc>
          <w:tcPr>
            <w:tcW w:type="dxa" w:w="1080"/>
          </w:tcPr>
          <w:p>
            <w:r>
              <w:t>195,300.00</w:t>
            </w:r>
          </w:p>
        </w:tc>
        <w:tc>
          <w:tcPr>
            <w:tcW w:type="dxa" w:w="1080"/>
          </w:tcPr>
          <w:p>
            <w:r>
              <w:t>1.00</w:t>
            </w:r>
          </w:p>
        </w:tc>
        <w:tc>
          <w:tcPr>
            <w:tcW w:type="dxa" w:w="1080"/>
          </w:tcPr>
          <w:p>
            <w:r>
              <w:t>High</w:t>
            </w:r>
          </w:p>
        </w:tc>
        <w:tc>
          <w:tcPr>
            <w:tcW w:type="dxa" w:w="1080"/>
          </w:tcPr>
          <w:p>
            <w:r>
              <w:t>194,334.28</w:t>
            </w:r>
          </w:p>
        </w:tc>
      </w:tr>
      <w:tr>
        <w:tc>
          <w:tcPr>
            <w:tcW w:type="dxa" w:w="1080"/>
          </w:tcPr>
          <w:p>
            <w:r>
              <w:t>C1542</w:t>
            </w:r>
          </w:p>
        </w:tc>
        <w:tc>
          <w:tcPr>
            <w:tcW w:type="dxa" w:w="1080"/>
          </w:tcPr>
          <w:p>
            <w:r>
              <w:t>Retail</w:t>
            </w:r>
          </w:p>
        </w:tc>
        <w:tc>
          <w:tcPr>
            <w:tcW w:type="dxa" w:w="1080"/>
          </w:tcPr>
          <w:p>
            <w:r>
              <w:t>North America</w:t>
            </w:r>
          </w:p>
        </w:tc>
        <w:tc>
          <w:tcPr>
            <w:tcW w:type="dxa" w:w="1080"/>
          </w:tcPr>
          <w:p>
            <w:r>
              <w:t>SMB</w:t>
            </w:r>
          </w:p>
        </w:tc>
        <w:tc>
          <w:tcPr>
            <w:tcW w:type="dxa" w:w="1080"/>
          </w:tcPr>
          <w:p>
            <w:r>
              <w:t>32,500.00</w:t>
            </w:r>
          </w:p>
        </w:tc>
        <w:tc>
          <w:tcPr>
            <w:tcW w:type="dxa" w:w="1080"/>
          </w:tcPr>
          <w:p>
            <w:r>
              <w:t>0.99</w:t>
            </w:r>
          </w:p>
        </w:tc>
        <w:tc>
          <w:tcPr>
            <w:tcW w:type="dxa" w:w="1080"/>
          </w:tcPr>
          <w:p>
            <w:r>
              <w:t>High</w:t>
            </w:r>
          </w:p>
        </w:tc>
        <w:tc>
          <w:tcPr>
            <w:tcW w:type="dxa" w:w="1080"/>
          </w:tcPr>
          <w:p>
            <w:r>
              <w:t>32,263.29</w:t>
            </w:r>
          </w:p>
        </w:tc>
      </w:tr>
      <w:tr>
        <w:tc>
          <w:tcPr>
            <w:tcW w:type="dxa" w:w="1080"/>
          </w:tcPr>
          <w:p>
            <w:r>
              <w:t>C1390</w:t>
            </w:r>
          </w:p>
        </w:tc>
        <w:tc>
          <w:tcPr>
            <w:tcW w:type="dxa" w:w="1080"/>
          </w:tcPr>
          <w:p>
            <w:r>
              <w:t>Manufacturing</w:t>
            </w:r>
          </w:p>
        </w:tc>
        <w:tc>
          <w:tcPr>
            <w:tcW w:type="dxa" w:w="1080"/>
          </w:tcPr>
          <w:p>
            <w:r>
              <w:t>EMEA</w:t>
            </w:r>
          </w:p>
        </w:tc>
        <w:tc>
          <w:tcPr>
            <w:tcW w:type="dxa" w:w="1080"/>
          </w:tcPr>
          <w:p>
            <w:r>
              <w:t>SMB</w:t>
            </w:r>
          </w:p>
        </w:tc>
        <w:tc>
          <w:tcPr>
            <w:tcW w:type="dxa" w:w="1080"/>
          </w:tcPr>
          <w:p>
            <w:r>
              <w:t>53,500.00</w:t>
            </w:r>
          </w:p>
        </w:tc>
        <w:tc>
          <w:tcPr>
            <w:tcW w:type="dxa" w:w="1080"/>
          </w:tcPr>
          <w:p>
            <w:r>
              <w:t>0.99</w:t>
            </w:r>
          </w:p>
        </w:tc>
        <w:tc>
          <w:tcPr>
            <w:tcW w:type="dxa" w:w="1080"/>
          </w:tcPr>
          <w:p>
            <w:r>
              <w:t>High</w:t>
            </w:r>
          </w:p>
        </w:tc>
        <w:tc>
          <w:tcPr>
            <w:tcW w:type="dxa" w:w="1080"/>
          </w:tcPr>
          <w:p>
            <w:r>
              <w:t>52,882.40</w:t>
            </w:r>
          </w:p>
        </w:tc>
      </w:tr>
      <w:tr>
        <w:tc>
          <w:tcPr>
            <w:tcW w:type="dxa" w:w="1080"/>
          </w:tcPr>
          <w:p>
            <w:r>
              <w:t>C1242</w:t>
            </w:r>
          </w:p>
        </w:tc>
        <w:tc>
          <w:tcPr>
            <w:tcW w:type="dxa" w:w="1080"/>
          </w:tcPr>
          <w:p>
            <w:r>
              <w:t>Retail</w:t>
            </w:r>
          </w:p>
        </w:tc>
        <w:tc>
          <w:tcPr>
            <w:tcW w:type="dxa" w:w="1080"/>
          </w:tcPr>
          <w:p>
            <w:r>
              <w:t>APAC</w:t>
            </w:r>
          </w:p>
        </w:tc>
        <w:tc>
          <w:tcPr>
            <w:tcW w:type="dxa" w:w="1080"/>
          </w:tcPr>
          <w:p>
            <w:r>
              <w:t>SMB</w:t>
            </w:r>
          </w:p>
        </w:tc>
        <w:tc>
          <w:tcPr>
            <w:tcW w:type="dxa" w:w="1080"/>
          </w:tcPr>
          <w:p>
            <w:r>
              <w:t>10,900.00</w:t>
            </w:r>
          </w:p>
        </w:tc>
        <w:tc>
          <w:tcPr>
            <w:tcW w:type="dxa" w:w="1080"/>
          </w:tcPr>
          <w:p>
            <w:r>
              <w:t>0.99</w:t>
            </w:r>
          </w:p>
        </w:tc>
        <w:tc>
          <w:tcPr>
            <w:tcW w:type="dxa" w:w="1080"/>
          </w:tcPr>
          <w:p>
            <w:r>
              <w:t>High</w:t>
            </w:r>
          </w:p>
        </w:tc>
        <w:tc>
          <w:tcPr>
            <w:tcW w:type="dxa" w:w="1080"/>
          </w:tcPr>
          <w:p>
            <w:r>
              <w:t>10,757.07</w:t>
            </w:r>
          </w:p>
        </w:tc>
      </w:tr>
      <w:tr>
        <w:tc>
          <w:tcPr>
            <w:tcW w:type="dxa" w:w="1080"/>
          </w:tcPr>
          <w:p>
            <w:r>
              <w:t>C0571</w:t>
            </w:r>
          </w:p>
        </w:tc>
        <w:tc>
          <w:tcPr>
            <w:tcW w:type="dxa" w:w="1080"/>
          </w:tcPr>
          <w:p>
            <w:r>
              <w:t>Retail</w:t>
            </w:r>
          </w:p>
        </w:tc>
        <w:tc>
          <w:tcPr>
            <w:tcW w:type="dxa" w:w="1080"/>
          </w:tcPr>
          <w:p>
            <w:r>
              <w:t>APAC</w:t>
            </w:r>
          </w:p>
        </w:tc>
        <w:tc>
          <w:tcPr>
            <w:tcW w:type="dxa" w:w="1080"/>
          </w:tcPr>
          <w:p>
            <w:r>
              <w:t>Mid-Market</w:t>
            </w:r>
          </w:p>
        </w:tc>
        <w:tc>
          <w:tcPr>
            <w:tcW w:type="dxa" w:w="1080"/>
          </w:tcPr>
          <w:p>
            <w:r>
              <w:t>97,300.00</w:t>
            </w:r>
          </w:p>
        </w:tc>
        <w:tc>
          <w:tcPr>
            <w:tcW w:type="dxa" w:w="1080"/>
          </w:tcPr>
          <w:p>
            <w:r>
              <w:t>0.98</w:t>
            </w:r>
          </w:p>
        </w:tc>
        <w:tc>
          <w:tcPr>
            <w:tcW w:type="dxa" w:w="1080"/>
          </w:tcPr>
          <w:p>
            <w:r>
              <w:t>High</w:t>
            </w:r>
          </w:p>
        </w:tc>
        <w:tc>
          <w:tcPr>
            <w:tcW w:type="dxa" w:w="1080"/>
          </w:tcPr>
          <w:p>
            <w:r>
              <w:t>95,747.86</w:t>
            </w:r>
          </w:p>
        </w:tc>
      </w:tr>
      <w:tr>
        <w:tc>
          <w:tcPr>
            <w:tcW w:type="dxa" w:w="1080"/>
          </w:tcPr>
          <w:p>
            <w:r>
              <w:t>C2986</w:t>
            </w:r>
          </w:p>
        </w:tc>
        <w:tc>
          <w:tcPr>
            <w:tcW w:type="dxa" w:w="1080"/>
          </w:tcPr>
          <w:p>
            <w:r>
              <w:t>Retail</w:t>
            </w:r>
          </w:p>
        </w:tc>
        <w:tc>
          <w:tcPr>
            <w:tcW w:type="dxa" w:w="1080"/>
          </w:tcPr>
          <w:p>
            <w:r>
              <w:t>North America</w:t>
            </w:r>
          </w:p>
        </w:tc>
        <w:tc>
          <w:tcPr>
            <w:tcW w:type="dxa" w:w="1080"/>
          </w:tcPr>
          <w:p>
            <w:r>
              <w:t>Mid-Market</w:t>
            </w:r>
          </w:p>
        </w:tc>
        <w:tc>
          <w:tcPr>
            <w:tcW w:type="dxa" w:w="1080"/>
          </w:tcPr>
          <w:p>
            <w:r>
              <w:t>72,100.00</w:t>
            </w:r>
          </w:p>
        </w:tc>
        <w:tc>
          <w:tcPr>
            <w:tcW w:type="dxa" w:w="1080"/>
          </w:tcPr>
          <w:p>
            <w:r>
              <w:t>0.98</w:t>
            </w:r>
          </w:p>
        </w:tc>
        <w:tc>
          <w:tcPr>
            <w:tcW w:type="dxa" w:w="1080"/>
          </w:tcPr>
          <w:p>
            <w:r>
              <w:t>High</w:t>
            </w:r>
          </w:p>
        </w:tc>
        <w:tc>
          <w:tcPr>
            <w:tcW w:type="dxa" w:w="1080"/>
          </w:tcPr>
          <w:p>
            <w:r>
              <w:t>70,900.70</w:t>
            </w:r>
          </w:p>
        </w:tc>
      </w:tr>
      <w:tr>
        <w:tc>
          <w:tcPr>
            <w:tcW w:type="dxa" w:w="1080"/>
          </w:tcPr>
          <w:p>
            <w:r>
              <w:t>C1904</w:t>
            </w:r>
          </w:p>
        </w:tc>
        <w:tc>
          <w:tcPr>
            <w:tcW w:type="dxa" w:w="1080"/>
          </w:tcPr>
          <w:p>
            <w:r>
              <w:t>Manufacturing</w:t>
            </w:r>
          </w:p>
        </w:tc>
        <w:tc>
          <w:tcPr>
            <w:tcW w:type="dxa" w:w="1080"/>
          </w:tcPr>
          <w:p>
            <w:r>
              <w:t>APAC</w:t>
            </w:r>
          </w:p>
        </w:tc>
        <w:tc>
          <w:tcPr>
            <w:tcW w:type="dxa" w:w="1080"/>
          </w:tcPr>
          <w:p>
            <w:r>
              <w:t>Mid-Market</w:t>
            </w:r>
          </w:p>
        </w:tc>
        <w:tc>
          <w:tcPr>
            <w:tcW w:type="dxa" w:w="1080"/>
          </w:tcPr>
          <w:p>
            <w:r>
              <w:t>94,400.00</w:t>
            </w:r>
          </w:p>
        </w:tc>
        <w:tc>
          <w:tcPr>
            <w:tcW w:type="dxa" w:w="1080"/>
          </w:tcPr>
          <w:p>
            <w:r>
              <w:t>0.98</w:t>
            </w:r>
          </w:p>
        </w:tc>
        <w:tc>
          <w:tcPr>
            <w:tcW w:type="dxa" w:w="1080"/>
          </w:tcPr>
          <w:p>
            <w:r>
              <w:t>High</w:t>
            </w:r>
          </w:p>
        </w:tc>
        <w:tc>
          <w:tcPr>
            <w:tcW w:type="dxa" w:w="1080"/>
          </w:tcPr>
          <w:p>
            <w:r>
              <w:t>92,601.46</w:t>
            </w:r>
          </w:p>
        </w:tc>
      </w:tr>
      <w:tr>
        <w:tc>
          <w:tcPr>
            <w:tcW w:type="dxa" w:w="1080"/>
          </w:tcPr>
          <w:p>
            <w:r>
              <w:t>C1693</w:t>
            </w:r>
          </w:p>
        </w:tc>
        <w:tc>
          <w:tcPr>
            <w:tcW w:type="dxa" w:w="1080"/>
          </w:tcPr>
          <w:p>
            <w:r>
              <w:t>Retail</w:t>
            </w:r>
          </w:p>
        </w:tc>
        <w:tc>
          <w:tcPr>
            <w:tcW w:type="dxa" w:w="1080"/>
          </w:tcPr>
          <w:p>
            <w:r>
              <w:t>APAC</w:t>
            </w:r>
          </w:p>
        </w:tc>
        <w:tc>
          <w:tcPr>
            <w:tcW w:type="dxa" w:w="1080"/>
          </w:tcPr>
          <w:p>
            <w:r>
              <w:t>SMB</w:t>
            </w:r>
          </w:p>
        </w:tc>
        <w:tc>
          <w:tcPr>
            <w:tcW w:type="dxa" w:w="1080"/>
          </w:tcPr>
          <w:p>
            <w:r>
              <w:t>15,100.00</w:t>
            </w:r>
          </w:p>
        </w:tc>
        <w:tc>
          <w:tcPr>
            <w:tcW w:type="dxa" w:w="1080"/>
          </w:tcPr>
          <w:p>
            <w:r>
              <w:t>0.98</w:t>
            </w:r>
          </w:p>
        </w:tc>
        <w:tc>
          <w:tcPr>
            <w:tcW w:type="dxa" w:w="1080"/>
          </w:tcPr>
          <w:p>
            <w:r>
              <w:t>High</w:t>
            </w:r>
          </w:p>
        </w:tc>
        <w:tc>
          <w:tcPr>
            <w:tcW w:type="dxa" w:w="1080"/>
          </w:tcPr>
          <w:p>
            <w:r>
              <w:t>14,788.86</w:t>
            </w:r>
          </w:p>
        </w:tc>
      </w:tr>
      <w:tr>
        <w:tc>
          <w:tcPr>
            <w:tcW w:type="dxa" w:w="1080"/>
          </w:tcPr>
          <w:p>
            <w:r>
              <w:t>C0029</w:t>
            </w:r>
          </w:p>
        </w:tc>
        <w:tc>
          <w:tcPr>
            <w:tcW w:type="dxa" w:w="1080"/>
          </w:tcPr>
          <w:p>
            <w:r>
              <w:t>Manufacturing</w:t>
            </w:r>
          </w:p>
        </w:tc>
        <w:tc>
          <w:tcPr>
            <w:tcW w:type="dxa" w:w="1080"/>
          </w:tcPr>
          <w:p>
            <w:r>
              <w:t>EMEA</w:t>
            </w:r>
          </w:p>
        </w:tc>
        <w:tc>
          <w:tcPr>
            <w:tcW w:type="dxa" w:w="1080"/>
          </w:tcPr>
          <w:p>
            <w:r>
              <w:t>Enterprise</w:t>
            </w:r>
          </w:p>
        </w:tc>
        <w:tc>
          <w:tcPr>
            <w:tcW w:type="dxa" w:w="1080"/>
          </w:tcPr>
          <w:p>
            <w:r>
              <w:t>272,600.00</w:t>
            </w:r>
          </w:p>
        </w:tc>
        <w:tc>
          <w:tcPr>
            <w:tcW w:type="dxa" w:w="1080"/>
          </w:tcPr>
          <w:p>
            <w:r>
              <w:t>0.98</w:t>
            </w:r>
          </w:p>
        </w:tc>
        <w:tc>
          <w:tcPr>
            <w:tcW w:type="dxa" w:w="1080"/>
          </w:tcPr>
          <w:p>
            <w:r>
              <w:t>High</w:t>
            </w:r>
          </w:p>
        </w:tc>
        <w:tc>
          <w:tcPr>
            <w:tcW w:type="dxa" w:w="1080"/>
          </w:tcPr>
          <w:p>
            <w:r>
              <w:t>266,616.01</w:t>
            </w:r>
          </w:p>
        </w:tc>
      </w:tr>
    </w:tbl>
    <w:p>
      <w:pPr>
        <w:pStyle w:val="Heading1"/>
      </w:pPr>
      <w:r>
        <w:t>6. Churn drivers (data)</w:t>
      </w:r>
    </w:p>
    <w:p>
      <w:r>
        <w:t>Strongest correlates of churn: competitor_mentions_90d (+0.26), sla_breaches_90d (+0.23), nps_score (-0.22), late_payments_12m (+0.20)</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correlation_with_churn</w:t>
            </w:r>
          </w:p>
        </w:tc>
      </w:tr>
      <w:tr>
        <w:tc>
          <w:tcPr>
            <w:tcW w:type="dxa" w:w="4320"/>
          </w:tcPr>
          <w:p>
            <w:r>
              <w:t>competitor_mentions_90d</w:t>
            </w:r>
          </w:p>
        </w:tc>
        <w:tc>
          <w:tcPr>
            <w:tcW w:type="dxa" w:w="4320"/>
          </w:tcPr>
          <w:p>
            <w:r>
              <w:t>0.26</w:t>
            </w:r>
          </w:p>
        </w:tc>
      </w:tr>
      <w:tr>
        <w:tc>
          <w:tcPr>
            <w:tcW w:type="dxa" w:w="4320"/>
          </w:tcPr>
          <w:p>
            <w:r>
              <w:t>sla_breaches_90d</w:t>
            </w:r>
          </w:p>
        </w:tc>
        <w:tc>
          <w:tcPr>
            <w:tcW w:type="dxa" w:w="4320"/>
          </w:tcPr>
          <w:p>
            <w:r>
              <w:t>0.23</w:t>
            </w:r>
          </w:p>
        </w:tc>
      </w:tr>
      <w:tr>
        <w:tc>
          <w:tcPr>
            <w:tcW w:type="dxa" w:w="4320"/>
          </w:tcPr>
          <w:p>
            <w:r>
              <w:t>nps_score</w:t>
            </w:r>
          </w:p>
        </w:tc>
        <w:tc>
          <w:tcPr>
            <w:tcW w:type="dxa" w:w="4320"/>
          </w:tcPr>
          <w:p>
            <w:r>
              <w:t>-0.22</w:t>
            </w:r>
          </w:p>
        </w:tc>
      </w:tr>
      <w:tr>
        <w:tc>
          <w:tcPr>
            <w:tcW w:type="dxa" w:w="4320"/>
          </w:tcPr>
          <w:p>
            <w:r>
              <w:t>late_payments_12m</w:t>
            </w:r>
          </w:p>
        </w:tc>
        <w:tc>
          <w:tcPr>
            <w:tcW w:type="dxa" w:w="4320"/>
          </w:tcPr>
          <w:p>
            <w:r>
              <w:t>0.20</w:t>
            </w:r>
          </w:p>
        </w:tc>
      </w:tr>
      <w:tr>
        <w:tc>
          <w:tcPr>
            <w:tcW w:type="dxa" w:w="4320"/>
          </w:tcPr>
          <w:p>
            <w:r>
              <w:t>usage_trend_pct</w:t>
            </w:r>
          </w:p>
        </w:tc>
        <w:tc>
          <w:tcPr>
            <w:tcW w:type="dxa" w:w="4320"/>
          </w:tcPr>
          <w:p>
            <w:r>
              <w:t>-0.18</w:t>
            </w:r>
          </w:p>
        </w:tc>
      </w:tr>
      <w:tr>
        <w:tc>
          <w:tcPr>
            <w:tcW w:type="dxa" w:w="4320"/>
          </w:tcPr>
          <w:p>
            <w:r>
              <w:t>avg_resolution_hours</w:t>
            </w:r>
          </w:p>
        </w:tc>
        <w:tc>
          <w:tcPr>
            <w:tcW w:type="dxa" w:w="4320"/>
          </w:tcPr>
          <w:p>
            <w:r>
              <w:t>0.13</w:t>
            </w:r>
          </w:p>
        </w:tc>
      </w:tr>
      <w:tr>
        <w:tc>
          <w:tcPr>
            <w:tcW w:type="dxa" w:w="4320"/>
          </w:tcPr>
          <w:p>
            <w:r>
              <w:t>support_tickets_90d</w:t>
            </w:r>
          </w:p>
        </w:tc>
        <w:tc>
          <w:tcPr>
            <w:tcW w:type="dxa" w:w="4320"/>
          </w:tcPr>
          <w:p>
            <w:r>
              <w:t>0.11</w:t>
            </w:r>
          </w:p>
        </w:tc>
      </w:tr>
      <w:tr>
        <w:tc>
          <w:tcPr>
            <w:tcW w:type="dxa" w:w="4320"/>
          </w:tcPr>
          <w:p>
            <w:r>
              <w:t>days_sales_outstanding</w:t>
            </w:r>
          </w:p>
        </w:tc>
        <w:tc>
          <w:tcPr>
            <w:tcW w:type="dxa" w:w="4320"/>
          </w:tcPr>
          <w:p>
            <w:r>
              <w:t>0.10</w:t>
            </w:r>
          </w:p>
        </w:tc>
      </w:tr>
    </w:tbl>
    <w:p>
      <w:pPr>
        <w:pStyle w:val="Heading1"/>
      </w:pPr>
      <w:r>
        <w:t>7. Policy-grounded recommendations</w:t>
      </w:r>
    </w:p>
    <w:p>
      <w:pPr>
        <w:pStyle w:val="ListBullet"/>
      </w:pPr>
      <w:r>
        <w:t>High Risk accounts must receive an executive outreach call within 5 business days. A written save plan must be approved by the Regional VP within 10 business days. Medium Risk accounts require a customer success manager check-in within 15 business days. [1]</w:t>
      </w:r>
    </w:p>
    <w:p>
      <w:pPr>
        <w:pStyle w:val="ListBullet"/>
      </w:pPr>
      <w:r>
        <w:t>Account Managers may approve retention discounts of up to 10 percent of annual contract value. Discounts between 10 and 20 percent require Regional VP approval. Discounts above 20 percent require CFO approval. No retention discount may exceed 30 percent under any circumstances. [2]</w:t>
      </w:r>
    </w:p>
    <w:p>
      <w:pPr>
        <w:pStyle w:val="ListBullet"/>
      </w:pPr>
      <w:r>
        <w:t>Accounts with annual contract value of 100,000 USD or more must be assigned an executive sponsor. Executive sponsors hold a quarterly business review with the customer. [3]</w:t>
      </w:r>
    </w:p>
    <w:p>
      <w:pPr>
        <w:pStyle w:val="ListBullet"/>
      </w:pPr>
      <w:r>
        <w:t>Three or more late payments within 12 months place the account on Credit Watch. Five or more late payments trigger a formal credit review and may require prepayment for renewals. [4]</w:t>
      </w:r>
    </w:p>
    <w:p>
      <w:pPr>
        <w:pStyle w:val="Heading1"/>
      </w:pPr>
      <w:r>
        <w:t>Model &amp; methodology</w:t>
      </w:r>
    </w:p>
    <w:p>
      <w:pPr>
        <w:pStyle w:val="ListBullet"/>
      </w:pPr>
      <w:r>
        <w:t>Selected model: logistic_regression (calibrated). Test ROC-AUC 0.860, F1 0.657.</w:t>
      </w:r>
    </w:p>
    <w:p>
      <w:pPr>
        <w:pStyle w:val="ListBullet"/>
      </w:pPr>
      <w:r>
        <w:t>Churn probabilities are calibrated; risk tiers follow Customer Retention Policy s.2 (High &gt;= 0.60, Medium &gt;= 0.30).</w:t>
      </w:r>
    </w:p>
    <w:p>
      <w:pPr>
        <w:pStyle w:val="ListBullet"/>
      </w:pPr>
      <w:r>
        <w:t>Evidence retrieved with hybrid search (dense + BM25, reciprocal rank fusion) and reranking.</w:t>
      </w:r>
    </w:p>
    <w:p>
      <w:pPr>
        <w:pStyle w:val="Heading1"/>
      </w:pPr>
      <w:r>
        <w:t>Limitations</w:t>
      </w:r>
    </w:p>
    <w:p>
      <w:pPr>
        <w:pStyle w:val="ListBullet"/>
      </w:pPr>
      <w:r>
        <w:t>Data is synthetic; probabilities describe model risk, not certainty. Policy citations are lexically verified, not semantically proven.</w:t>
      </w:r>
    </w:p>
    <w:p>
      <w:pPr>
        <w:pStyle w:val="Heading1"/>
      </w:pPr>
      <w:r>
        <w:t>References</w:t>
      </w:r>
    </w:p>
    <w:p>
      <w:r>
        <w:t>[1] Customer_Retention_Policy.pdf (page 1): High Risk accounts must receive an executive outreach call within 5 business days. A written save plan must be approved by the Regional VP within 10 business days. Medium Risk accounts require a custo</w:t>
      </w:r>
    </w:p>
    <w:p>
      <w:r>
        <w:t xml:space="preserve">[2] Customer_Retention_Policy.pdf (page 1): Account Managers may approve retention discounts of up to 10 percent of annual contract value. Discounts between 10 and 20 percent require Regional VP approval. Discounts above 20 percent require CFO </w:t>
      </w:r>
    </w:p>
    <w:p>
      <w:r>
        <w:t>[3] Customer_Retention_Policy.pdf (page 1): Accounts with annual contract value of 100,000 USD or more must be assigned an executive sponsor. Executive sponsors hold a quarterly business review with the customer.</w:t>
      </w:r>
    </w:p>
    <w:p>
      <w:r>
        <w:t>[4] Credit_and_Payment_Risk_Policy.pdf (page 1): Three or more late payments within 12 months place the account on Credit Watch. Five or more late payments trigger a formal credit review and may require prepayment for renewals.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