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60" w:line="240" w:lineRule="auto"/>
        <w:jc w:val="left"/>
      </w:pPr>
      <w:r>
        <w:rPr>
          <w:rFonts w:ascii="Calibri" w:hAnsi="Calibri" w:eastAsia="Calibri"/>
          <w:b w:val="0"/>
          <w:color w:val="000000"/>
          <w:sz w:val="52"/>
        </w:rPr>
        <w:t>Expense Intelligence Platform</w:t>
      </w:r>
    </w:p>
    <w:p>
      <w:pPr>
        <w:keepNext w:val="0"/>
        <w:keepLines w:val="0"/>
        <w:spacing w:before="0" w:after="200" w:line="240" w:lineRule="auto"/>
      </w:pPr>
      <w:r>
        <w:rPr>
          <w:rFonts w:ascii="Calibri" w:hAnsi="Calibri" w:eastAsia="Calibri"/>
          <w:b w:val="0"/>
          <w:color w:val="555555"/>
          <w:sz w:val="24"/>
        </w:rPr>
        <w:t>Implementation status and future plan</w:t>
      </w:r>
    </w:p>
    <w:p>
      <w:pPr>
        <w:keepNext w:val="0"/>
        <w:keepLines w:val="0"/>
        <w:spacing w:before="200" w:after="60" w:line="240" w:lineRule="auto"/>
      </w:pPr>
      <w:r>
        <w:rPr>
          <w:rFonts w:ascii="Calibri" w:hAnsi="Calibri" w:eastAsia="Calibri"/>
          <w:b w:val="0"/>
          <w:color w:val="000000"/>
          <w:sz w:val="32"/>
        </w:rPr>
        <w:t>Current status</w:t>
      </w:r>
    </w:p>
    <w:p>
      <w:pPr>
        <w:pStyle w:val="ListBullet"/>
        <w:keepNext w:val="0"/>
        <w:keepLines w:val="0"/>
        <w:spacing w:before="0" w:after="8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Milestone 1 is complete: local PostgreSQL, FastAPI, authentication, households, merchants, payment methods, receipts, receipt items, receipt payments, OCR capture flow, duplicate checks, and the working server-rendered UI are in place.</w:t>
      </w:r>
    </w:p>
    <w:p>
      <w:pPr>
        <w:pStyle w:val="ListBullet"/>
        <w:keepNext w:val="0"/>
        <w:keepLines w:val="0"/>
        <w:spacing w:before="0" w:after="8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The app already supports multi-user and multi-household behavior, including admin access and household-scoped data access.</w:t>
      </w:r>
    </w:p>
    <w:p>
      <w:pPr>
        <w:pStyle w:val="ListBullet"/>
        <w:keepNext w:val="0"/>
        <w:keepLines w:val="0"/>
        <w:spacing w:before="0" w:after="8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OCR processing is integrated with Azure Document Intelligence and includes image preparation/compression before sending a document to Azure.</w:t>
      </w:r>
    </w:p>
    <w:p>
      <w:pPr>
        <w:pStyle w:val="ListBullet"/>
        <w:keepNext w:val="0"/>
        <w:keepLines w:val="0"/>
        <w:spacing w:before="0" w:after="8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A local fallback path exists for image storage, and the codebase is modularized so integrations stay separated from the UI.</w:t>
      </w:r>
    </w:p>
    <w:p>
      <w:pPr>
        <w:keepNext w:val="0"/>
        <w:keepLines w:val="0"/>
        <w:spacing w:before="200" w:after="60" w:line="240" w:lineRule="auto"/>
      </w:pPr>
      <w:r>
        <w:rPr>
          <w:rFonts w:ascii="Calibri" w:hAnsi="Calibri" w:eastAsia="Calibri"/>
          <w:b w:val="0"/>
          <w:color w:val="000000"/>
          <w:sz w:val="32"/>
        </w:rPr>
        <w:t>What has been implemented</w:t>
      </w:r>
    </w:p>
    <w:p>
      <w:pPr>
        <w:pStyle w:val="ListBullet"/>
        <w:keepNext w:val="0"/>
        <w:keepLines w:val="0"/>
        <w:spacing w:before="0" w:after="8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Database layer: PostgreSQL schema, migrations, and core entities are working.</w:t>
      </w:r>
    </w:p>
    <w:p>
      <w:pPr>
        <w:pStyle w:val="ListBullet"/>
        <w:keepNext w:val="0"/>
        <w:keepLines w:val="0"/>
        <w:spacing w:before="0" w:after="8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API layer: FastAPI routes for auth, households, merchants, payment methods, receipts, receipt items, receipt payments, captures, income, and maintenance are implemented.</w:t>
      </w:r>
    </w:p>
    <w:p>
      <w:pPr>
        <w:pStyle w:val="ListBullet"/>
        <w:keepNext w:val="0"/>
        <w:keepLines w:val="0"/>
        <w:spacing w:before="0" w:after="8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UI layer: a browser-based interface is working on desktop and mobile.</w:t>
      </w:r>
    </w:p>
    <w:p>
      <w:pPr>
        <w:pStyle w:val="ListBullet"/>
        <w:keepNext w:val="0"/>
        <w:keepLines w:val="0"/>
        <w:spacing w:before="0" w:after="8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Operational flow: Docker-based local development, pytest coverage for key flows, and manual database inspection/debugging are already usable.</w:t>
      </w:r>
    </w:p>
    <w:p>
      <w:pPr>
        <w:keepNext w:val="0"/>
        <w:keepLines w:val="0"/>
        <w:spacing w:before="200" w:after="60" w:line="240" w:lineRule="auto"/>
      </w:pPr>
      <w:r>
        <w:rPr>
          <w:rFonts w:ascii="Calibri" w:hAnsi="Calibri" w:eastAsia="Calibri"/>
          <w:b w:val="0"/>
          <w:color w:val="000000"/>
          <w:sz w:val="32"/>
        </w:rPr>
        <w:t>Design decisions already made</w:t>
      </w:r>
    </w:p>
    <w:p>
      <w:pPr>
        <w:pStyle w:val="ListBullet"/>
        <w:keepNext w:val="0"/>
        <w:keepLines w:val="0"/>
        <w:spacing w:before="0" w:after="8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PostgreSQL is the primary relational store.</w:t>
      </w:r>
    </w:p>
    <w:p>
      <w:pPr>
        <w:pStyle w:val="ListBullet"/>
        <w:keepNext w:val="0"/>
        <w:keepLines w:val="0"/>
        <w:spacing w:before="0" w:after="8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Household scoping is enforced across the app.</w:t>
      </w:r>
    </w:p>
    <w:p>
      <w:pPr>
        <w:pStyle w:val="ListBullet"/>
        <w:keepNext w:val="0"/>
        <w:keepLines w:val="0"/>
        <w:spacing w:before="0" w:after="8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Merchant normalization is household-aware.</w:t>
      </w:r>
    </w:p>
    <w:p>
      <w:pPr>
        <w:pStyle w:val="ListBullet"/>
        <w:keepNext w:val="0"/>
        <w:keepLines w:val="0"/>
        <w:spacing w:before="0" w:after="8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Payment methods are owned by users, while receipt payments can reference them for a shared household receipt.</w:t>
      </w:r>
    </w:p>
    <w:p>
      <w:pPr>
        <w:pStyle w:val="ListBullet"/>
        <w:keepNext w:val="0"/>
        <w:keepLines w:val="0"/>
        <w:spacing w:before="0" w:after="8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OCR upload handling now compresses the Azure-bound copy only, so original stored images remain intact.</w:t>
      </w:r>
    </w:p>
    <w:p>
      <w:pPr>
        <w:keepNext w:val="0"/>
        <w:keepLines w:val="0"/>
        <w:spacing w:before="200" w:after="60" w:line="240" w:lineRule="auto"/>
      </w:pPr>
      <w:r>
        <w:rPr>
          <w:rFonts w:ascii="Calibri" w:hAnsi="Calibri" w:eastAsia="Calibri"/>
          <w:b w:val="0"/>
          <w:color w:val="000000"/>
          <w:sz w:val="32"/>
        </w:rPr>
        <w:t>Next implementation phase</w:t>
      </w:r>
    </w:p>
    <w:p>
      <w:pPr>
        <w:pStyle w:val="ListBullet"/>
        <w:keepNext w:val="0"/>
        <w:keepLines w:val="0"/>
        <w:spacing w:before="0" w:after="8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Finish Milestone 2: normalized product foundation with merchant aliases, product identity, item mapping, package metadata, and price history.</w:t>
      </w:r>
    </w:p>
    <w:p>
      <w:pPr>
        <w:pStyle w:val="ListBullet"/>
        <w:keepNext w:val="0"/>
        <w:keepLines w:val="0"/>
        <w:spacing w:before="0" w:after="8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Add deterministic merchant and item resolution so common matches do not require external research.</w:t>
      </w:r>
    </w:p>
    <w:p>
      <w:pPr>
        <w:pStyle w:val="ListBullet"/>
        <w:keepNext w:val="0"/>
        <w:keepLines w:val="0"/>
        <w:spacing w:before="0" w:after="8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Add review workflows for unresolved or low-confidence matches.</w:t>
      </w:r>
    </w:p>
    <w:p>
      <w:pPr>
        <w:pStyle w:val="ListBullet"/>
        <w:keepNext w:val="0"/>
        <w:keepLines w:val="0"/>
        <w:spacing w:before="0" w:after="8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Extend enrichment for categories, product metadata, and nutrition-related fields.</w:t>
      </w:r>
    </w:p>
    <w:p>
      <w:pPr>
        <w:pStyle w:val="ListBullet"/>
        <w:keepNext w:val="0"/>
        <w:keepLines w:val="0"/>
        <w:spacing w:before="0" w:after="8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Build analytics and dashboard views for expenditure breakdowns, top vendors, price trends, and purchase insights.</w:t>
      </w:r>
    </w:p>
    <w:p>
      <w:pPr>
        <w:keepNext w:val="0"/>
        <w:keepLines w:val="0"/>
        <w:spacing w:before="200" w:after="60" w:line="240" w:lineRule="auto"/>
      </w:pPr>
      <w:r>
        <w:rPr>
          <w:rFonts w:ascii="Calibri" w:hAnsi="Calibri" w:eastAsia="Calibri"/>
          <w:b w:val="0"/>
          <w:color w:val="000000"/>
          <w:sz w:val="32"/>
        </w:rPr>
        <w:t>Later roadmap</w:t>
      </w:r>
    </w:p>
    <w:p>
      <w:pPr>
        <w:pStyle w:val="ListBullet"/>
        <w:keepNext w:val="0"/>
        <w:keepLines w:val="0"/>
        <w:spacing w:before="0" w:after="8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Controlled research agent for unresolved merchants and products.</w:t>
      </w:r>
    </w:p>
    <w:p>
      <w:pPr>
        <w:pStyle w:val="ListBullet"/>
        <w:keepNext w:val="0"/>
        <w:keepLines w:val="0"/>
        <w:spacing w:before="0" w:after="8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Evaluation gates for when to use RAG or embeddings.</w:t>
      </w:r>
    </w:p>
    <w:p>
      <w:pPr>
        <w:pStyle w:val="ListBullet"/>
        <w:keepNext w:val="0"/>
        <w:keepLines w:val="0"/>
        <w:spacing w:before="0" w:after="8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Export, archive, and purge flows.</w:t>
      </w:r>
    </w:p>
    <w:p>
      <w:pPr>
        <w:pStyle w:val="ListBullet"/>
        <w:keepNext w:val="0"/>
        <w:keepLines w:val="0"/>
        <w:spacing w:before="0" w:after="8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Production hardening, budget controls, backups, and observability.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 w:val="true"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0000"/>
                <w:sz w:val="22"/>
              </w:rPr>
              <w:t>Area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Database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Done: PostgreSQL schema, migrations, and local Docker setup.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API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Done: FastAPI routes and vertical-slice workflows are in place.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UI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Done: working browser UI with mobile access.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OCR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Done: Azure OCR integration plus image compression for Azure limits.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Next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Build normalized product and resolution layers.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