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6DB6" w14:textId="77777777" w:rsidR="007D1390" w:rsidRDefault="00F57D6B">
      <w:pPr>
        <w:pStyle w:val="Heading1"/>
        <w:jc w:val="center"/>
        <w:rPr>
          <w:rFonts w:ascii="Libre Franklin" w:eastAsia="Libre Franklin" w:hAnsi="Libre Franklin" w:cs="Libre Franklin"/>
          <w:color w:val="000000"/>
          <w:sz w:val="36"/>
          <w:szCs w:val="36"/>
        </w:rPr>
      </w:pPr>
      <w:bookmarkStart w:id="0" w:name="_gjdgxs"/>
      <w:bookmarkEnd w:id="0"/>
      <w:r>
        <w:rPr>
          <w:rFonts w:ascii="Libre Franklin" w:eastAsia="Libre Franklin" w:hAnsi="Libre Franklin" w:cs="Libre Franklin"/>
          <w:color w:val="000000"/>
          <w:sz w:val="36"/>
          <w:szCs w:val="36"/>
        </w:rPr>
        <w:t>Vessel Specific Information</w:t>
      </w:r>
    </w:p>
    <w:p w14:paraId="4183B37D" w14:textId="77777777" w:rsidR="007D1390" w:rsidRDefault="007D1390">
      <w:pPr>
        <w:spacing w:after="0" w:line="240" w:lineRule="auto"/>
        <w:rPr>
          <w:rFonts w:ascii="Libre Franklin" w:eastAsia="Libre Franklin" w:hAnsi="Libre Franklin" w:cs="Libre Franklin"/>
          <w:sz w:val="28"/>
          <w:szCs w:val="28"/>
        </w:rPr>
      </w:pPr>
    </w:p>
    <w:p w14:paraId="74898A1D" w14:textId="77777777" w:rsidR="007D1390" w:rsidRDefault="00F57D6B">
      <w:pPr>
        <w:tabs>
          <w:tab w:val="right" w:pos="9000"/>
        </w:tabs>
      </w:pPr>
      <w:r>
        <w:rPr>
          <w:rFonts w:ascii="Libre Franklin" w:eastAsia="Libre Franklin" w:hAnsi="Libre Franklin" w:cs="Libre Franklin"/>
          <w:sz w:val="28"/>
          <w:szCs w:val="28"/>
        </w:rPr>
        <w:t xml:space="preserve">Vessel Name:  </w:t>
      </w:r>
      <w:r>
        <w:rPr>
          <w:rFonts w:ascii="Libre Franklin" w:eastAsia="Libre Franklin" w:hAnsi="Libre Franklin" w:cs="Libre Franklin"/>
          <w:smallCaps/>
          <w:sz w:val="28"/>
          <w:szCs w:val="28"/>
        </w:rPr>
        <w:t>${</w:t>
      </w:r>
      <w:proofErr w:type="spellStart"/>
      <w:r>
        <w:rPr>
          <w:rFonts w:ascii="Libre Franklin" w:eastAsia="Libre Franklin" w:hAnsi="Libre Franklin" w:cs="Libre Franklin"/>
          <w:smallCaps/>
          <w:sz w:val="28"/>
          <w:szCs w:val="28"/>
        </w:rPr>
        <w:t>vesselName</w:t>
      </w:r>
      <w:proofErr w:type="spellEnd"/>
      <w:r>
        <w:rPr>
          <w:rFonts w:ascii="Libre Franklin" w:eastAsia="Libre Franklin" w:hAnsi="Libre Franklin" w:cs="Libre Franklin"/>
          <w:smallCaps/>
          <w:sz w:val="28"/>
          <w:szCs w:val="28"/>
        </w:rPr>
        <w:t>}</w:t>
      </w:r>
      <w:r>
        <w:rPr>
          <w:rFonts w:ascii="Libre Franklin" w:eastAsia="Libre Franklin" w:hAnsi="Libre Franklin" w:cs="Libre Franklin"/>
          <w:sz w:val="28"/>
          <w:szCs w:val="28"/>
        </w:rPr>
        <w:t xml:space="preserve"> </w:t>
      </w:r>
      <w:r>
        <w:rPr>
          <w:rFonts w:ascii="Libre Franklin" w:eastAsia="Libre Franklin" w:hAnsi="Libre Franklin" w:cs="Libre Franklin"/>
          <w:sz w:val="28"/>
          <w:szCs w:val="28"/>
        </w:rPr>
        <w:tab/>
        <w:t>IMO Number:  ${</w:t>
      </w:r>
      <w:proofErr w:type="spellStart"/>
      <w:r>
        <w:rPr>
          <w:rFonts w:ascii="Libre Franklin" w:eastAsia="Libre Franklin" w:hAnsi="Libre Franklin" w:cs="Libre Franklin"/>
          <w:sz w:val="28"/>
          <w:szCs w:val="28"/>
        </w:rPr>
        <w:t>imo</w:t>
      </w:r>
      <w:proofErr w:type="spellEnd"/>
      <w:r>
        <w:rPr>
          <w:rFonts w:ascii="Libre Franklin" w:eastAsia="Libre Franklin" w:hAnsi="Libre Franklin" w:cs="Libre Franklin"/>
          <w:sz w:val="28"/>
          <w:szCs w:val="28"/>
        </w:rPr>
        <w:t>}</w:t>
      </w:r>
    </w:p>
    <w:tbl>
      <w:tblPr>
        <w:tblW w:w="10699" w:type="dxa"/>
        <w:jc w:val="center"/>
        <w:tblBorders>
          <w:top w:val="single" w:sz="24" w:space="0" w:color="1F497D"/>
          <w:left w:val="single" w:sz="24" w:space="0" w:color="1F497D"/>
          <w:bottom w:val="single" w:sz="4" w:space="0" w:color="1F497D"/>
          <w:right w:val="single" w:sz="24" w:space="0" w:color="1F497D"/>
          <w:insideH w:val="single" w:sz="4" w:space="0" w:color="1F497D"/>
          <w:insideV w:val="single" w:sz="24" w:space="0" w:color="1F497D"/>
        </w:tblBorders>
        <w:tblCellMar>
          <w:left w:w="48" w:type="dxa"/>
        </w:tblCellMar>
        <w:tblLook w:val="0400" w:firstRow="0" w:lastRow="0" w:firstColumn="0" w:lastColumn="0" w:noHBand="0" w:noVBand="1"/>
      </w:tblPr>
      <w:tblGrid>
        <w:gridCol w:w="3760"/>
        <w:gridCol w:w="6939"/>
      </w:tblGrid>
      <w:tr w:rsidR="007D1390" w14:paraId="498B77C8" w14:textId="77777777" w:rsidTr="00E24927">
        <w:trPr>
          <w:jc w:val="center"/>
        </w:trPr>
        <w:tc>
          <w:tcPr>
            <w:tcW w:w="3760" w:type="dxa"/>
            <w:tcBorders>
              <w:top w:val="single" w:sz="2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B847438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32"/>
                <w:szCs w:val="32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Deck Area:    </w:t>
            </w:r>
          </w:p>
        </w:tc>
        <w:tc>
          <w:tcPr>
            <w:tcW w:w="6939" w:type="dxa"/>
            <w:tcBorders>
              <w:top w:val="single" w:sz="2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036B6196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DeckSF</w:t>
            </w:r>
            <w:proofErr w:type="spellEnd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} sq ft</w:t>
            </w:r>
          </w:p>
        </w:tc>
      </w:tr>
      <w:tr w:rsidR="007D1390" w14:paraId="2FD9A51E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  <w:vAlign w:val="center"/>
          </w:tcPr>
          <w:p w14:paraId="067F07A8" w14:textId="77777777" w:rsidR="007D1390" w:rsidRDefault="007D1390">
            <w:pPr>
              <w:spacing w:before="40" w:after="96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  <w:vAlign w:val="center"/>
          </w:tcPr>
          <w:p w14:paraId="52555CE5" w14:textId="77777777" w:rsidR="007D1390" w:rsidRDefault="007D1390">
            <w:pPr>
              <w:spacing w:before="40" w:after="96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0B0E54E1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4BA04744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32"/>
                <w:szCs w:val="32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Water/foam requirement:</w:t>
            </w:r>
            <w:r>
              <w:rPr>
                <w:rFonts w:ascii="Libre Franklin" w:eastAsia="Libre Franklin" w:hAnsi="Libre Franklin" w:cs="Libre Franklin"/>
                <w:b/>
                <w:sz w:val="32"/>
                <w:szCs w:val="32"/>
              </w:rPr>
              <w:t xml:space="preserve"> 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EDACD99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WaterFoam</w:t>
            </w:r>
            <w:proofErr w:type="spellEnd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} gallons/minute for 20 min</w:t>
            </w:r>
          </w:p>
        </w:tc>
      </w:tr>
      <w:tr w:rsidR="007D1390" w14:paraId="5D2E6510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FDAFD9A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Extinguishing Agent Type(s):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4F3FC9D2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AFFF - Aer-O-Lite 3%</w:t>
            </w:r>
          </w:p>
        </w:tc>
      </w:tr>
      <w:tr w:rsidR="007D1390" w14:paraId="1DCBFCF6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57E8069B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B524272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</w:p>
        </w:tc>
      </w:tr>
      <w:tr w:rsidR="007D1390" w14:paraId="45E9CAFB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5B4326C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Ports/COTP Zones Called:  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CFF36E5" w14:textId="610F2FD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ALL COTP ZONES (See Geographic-specific Appendix [GSA] for COTP Zone details)</w:t>
            </w:r>
          </w:p>
        </w:tc>
      </w:tr>
      <w:tr w:rsidR="007D1390" w14:paraId="40248E07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351CC637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2BED0D50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4441AE0B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556985D2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Largest Tank: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4C3FBCFA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LgstTank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 gallons</w:t>
            </w:r>
          </w:p>
        </w:tc>
      </w:tr>
      <w:tr w:rsidR="007D1390" w14:paraId="764D01F1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26BEB311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Heaviest Oil Group Carried: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7CE84932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  <w:highlight w:val="yellow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Group 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Oil_Group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</w:t>
            </w:r>
          </w:p>
        </w:tc>
      </w:tr>
      <w:tr w:rsidR="007D1390" w14:paraId="4022A875" w14:textId="77777777" w:rsidTr="00E24927">
        <w:trPr>
          <w:trHeight w:val="36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03506148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Pumping Requirement to empty in 24 hours: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DB0BBD5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${GPH} gallons/hour; ${GPM} gallons/minute</w:t>
            </w:r>
          </w:p>
        </w:tc>
      </w:tr>
      <w:tr w:rsidR="007D1390" w14:paraId="3A0C11BC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0CA56554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Pump(s) required: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402CEC4E" w14:textId="77777777" w:rsidR="007D1390" w:rsidRDefault="00F57D6B">
            <w:pPr>
              <w:spacing w:before="40"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${Pumps} TK150 Pump(s) – or other multiple pumps to achieve proper collective flowrate for tank size and cargo oil group carried.</w:t>
            </w:r>
          </w:p>
          <w:p w14:paraId="16724D4C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See </w:t>
            </w:r>
            <w:r>
              <w:rPr>
                <w:rFonts w:ascii="Libre Franklin" w:eastAsia="Libre Franklin" w:hAnsi="Libre Franklin" w:cs="Libre Franklin"/>
                <w:b/>
                <w:i/>
                <w:sz w:val="24"/>
                <w:szCs w:val="24"/>
              </w:rPr>
              <w:t>Pumps &amp; Tugs Tables</w:t>
            </w: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 at the front of this section for alternate pumps with flowrates by tank size.  </w:t>
            </w:r>
          </w:p>
        </w:tc>
      </w:tr>
      <w:tr w:rsidR="007D1390" w14:paraId="77ABA090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C112AD1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39A485BE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1E9B0DBD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0E3BACA7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Deadweight: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225B2B5B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  <w:highlight w:val="yellow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${DWT} mt</w:t>
            </w:r>
          </w:p>
        </w:tc>
      </w:tr>
      <w:tr w:rsidR="007D1390" w14:paraId="04464BC5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D6AD0AB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Approximate Tug Size Required for vessel: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45D41520" w14:textId="77777777" w:rsidR="007D1390" w:rsidRDefault="00F57D6B">
            <w:pPr>
              <w:spacing w:before="40"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TugHP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} HP – or multiple smaller tugs.  </w:t>
            </w:r>
          </w:p>
          <w:p w14:paraId="743B40C4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See </w:t>
            </w:r>
            <w:r>
              <w:rPr>
                <w:rFonts w:ascii="Libre Franklin" w:eastAsia="Libre Franklin" w:hAnsi="Libre Franklin" w:cs="Libre Franklin"/>
                <w:b/>
                <w:i/>
                <w:sz w:val="24"/>
                <w:szCs w:val="24"/>
              </w:rPr>
              <w:t>Pumps &amp; Tugs Tables</w:t>
            </w: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 at the front of this section for multiple tugs combinations.  </w:t>
            </w:r>
          </w:p>
          <w:p w14:paraId="20309EBC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See GSA for listing of Tugs by Horsepower, Bollard Pull and Operating Environment Capabilities.           </w:t>
            </w:r>
          </w:p>
        </w:tc>
      </w:tr>
      <w:tr w:rsidR="007D1390" w14:paraId="241A58B1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17D58442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53F9A96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2DBAC4F1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21C93CDE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Vessel Pre-Fire Plan: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4030DDD3" w14:textId="2995087B" w:rsidR="007D1390" w:rsidRDefault="00F57D6B">
            <w:pPr>
              <w:spacing w:before="40" w:after="40" w:line="240" w:lineRule="auto"/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 xml:space="preserve">See </w:t>
            </w:r>
            <w:r w:rsidRPr="00E24927">
              <w:rPr>
                <w:rStyle w:val="InternetLink"/>
                <w:rFonts w:ascii="Libre Franklin" w:eastAsia="Libre Franklin" w:hAnsi="Libre Franklin" w:cs="Libre Franklin"/>
                <w:color w:val="auto"/>
                <w:sz w:val="24"/>
                <w:szCs w:val="24"/>
                <w:u w:val="none"/>
              </w:rPr>
              <w:t>http://members.donjon-smit.com</w:t>
            </w:r>
          </w:p>
        </w:tc>
      </w:tr>
      <w:tr w:rsidR="007D1390" w14:paraId="1C8DDC77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1220A7E" w14:textId="77777777" w:rsidR="007D1390" w:rsidRDefault="007D1390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41F985C6" w14:textId="77777777" w:rsidR="007D1390" w:rsidRDefault="007D1390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0A8A8A27" w14:textId="77777777" w:rsidTr="00E24927">
        <w:trPr>
          <w:trHeight w:val="563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2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1D4756C4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Damage Stability Provider: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2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4D856E6" w14:textId="77777777" w:rsidR="007D1390" w:rsidRDefault="00F57D6B">
            <w:pPr>
              <w:spacing w:before="40" w:after="40" w:line="240" w:lineRule="auto"/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DamageStabilityProvider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</w:t>
            </w:r>
          </w:p>
        </w:tc>
      </w:tr>
    </w:tbl>
    <w:p w14:paraId="7FE2B06A" w14:textId="77777777" w:rsidR="007D1390" w:rsidRDefault="007D1390"/>
    <w:sectPr w:rsidR="007D1390">
      <w:headerReference w:type="default" r:id="rId6"/>
      <w:footerReference w:type="default" r:id="rId7"/>
      <w:pgSz w:w="11906" w:h="16838"/>
      <w:pgMar w:top="1170" w:right="1440" w:bottom="1440" w:left="1440" w:header="330" w:footer="720" w:gutter="0"/>
      <w:pgNumType w:start="14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D17FB" w14:textId="77777777" w:rsidR="006C55E9" w:rsidRDefault="006C55E9">
      <w:pPr>
        <w:spacing w:after="0" w:line="240" w:lineRule="auto"/>
      </w:pPr>
      <w:r>
        <w:separator/>
      </w:r>
    </w:p>
  </w:endnote>
  <w:endnote w:type="continuationSeparator" w:id="0">
    <w:p w14:paraId="148DDD96" w14:textId="77777777" w:rsidR="006C55E9" w:rsidRDefault="006C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B6B5" w14:textId="60A32F6D" w:rsidR="007D1390" w:rsidRDefault="00F57D6B" w:rsidP="00E24927">
    <w:pPr>
      <w:keepNext/>
      <w:widowControl/>
      <w:tabs>
        <w:tab w:val="right" w:pos="9000"/>
      </w:tabs>
      <w:spacing w:after="0" w:line="240" w:lineRule="auto"/>
    </w:pPr>
    <w:r>
      <w:rPr>
        <w:color w:val="000000"/>
        <w:sz w:val="18"/>
        <w:szCs w:val="18"/>
        <w:shd w:val="clear" w:color="auto" w:fill="FFFFFF"/>
      </w:rPr>
      <w:t>Donjon-SMIT LLC</w:t>
    </w:r>
    <w:r w:rsidR="00E24927">
      <w:rPr>
        <w:color w:val="000000"/>
        <w:sz w:val="18"/>
        <w:szCs w:val="18"/>
        <w:shd w:val="clear" w:color="auto" w:fill="FFFFFF"/>
      </w:rPr>
      <w:tab/>
    </w:r>
    <w:r w:rsidR="00E24927" w:rsidRPr="00E24927">
      <w:rPr>
        <w:color w:val="000000"/>
        <w:sz w:val="16"/>
        <w:szCs w:val="16"/>
        <w:shd w:val="clear" w:color="auto" w:fill="FFFFFF"/>
      </w:rPr>
      <w:t>Internal Document Version 1.</w:t>
    </w:r>
    <w:r w:rsidR="00E24927">
      <w:rPr>
        <w:color w:val="000000"/>
        <w:sz w:val="16"/>
        <w:szCs w:val="16"/>
        <w:shd w:val="clear" w:color="auto" w:fill="FFFFFF"/>
      </w:rPr>
      <w:t>2</w:t>
    </w:r>
  </w:p>
  <w:p w14:paraId="6B65338A" w14:textId="19B81947" w:rsidR="007D1390" w:rsidRDefault="00F57D6B">
    <w:pPr>
      <w:widowControl/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  <w:sz w:val="18"/>
        <w:szCs w:val="18"/>
        <w:shd w:val="clear" w:color="auto" w:fill="FFFFFF"/>
      </w:rPr>
      <w:t>Salvage and Marine Firefighting Annex</w:t>
    </w:r>
    <w:r>
      <w:rPr>
        <w:color w:val="000000"/>
        <w:sz w:val="18"/>
        <w:szCs w:val="18"/>
        <w:shd w:val="clear" w:color="auto" w:fill="FFFFFF"/>
      </w:rPr>
      <w:tab/>
    </w:r>
    <w:r>
      <w:rPr>
        <w:color w:val="000000"/>
        <w:sz w:val="18"/>
        <w:szCs w:val="18"/>
        <w:shd w:val="clear" w:color="auto" w:fil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4B85A" w14:textId="77777777" w:rsidR="006C55E9" w:rsidRDefault="006C55E9">
      <w:pPr>
        <w:spacing w:after="0" w:line="240" w:lineRule="auto"/>
      </w:pPr>
      <w:r>
        <w:separator/>
      </w:r>
    </w:p>
  </w:footnote>
  <w:footnote w:type="continuationSeparator" w:id="0">
    <w:p w14:paraId="22B08698" w14:textId="77777777" w:rsidR="006C55E9" w:rsidRDefault="006C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250C2" w14:textId="77777777" w:rsidR="007D1390" w:rsidRDefault="00F57D6B">
    <w:pPr>
      <w:keepNext/>
      <w:widowControl/>
      <w:pBdr>
        <w:bottom w:val="single" w:sz="24" w:space="1" w:color="000001"/>
      </w:pBdr>
      <w:tabs>
        <w:tab w:val="center" w:pos="4680"/>
        <w:tab w:val="right" w:pos="9360"/>
      </w:tabs>
      <w:spacing w:after="0" w:line="240" w:lineRule="auto"/>
      <w:jc w:val="center"/>
      <w:rPr>
        <w:rFonts w:ascii="Libre Franklin" w:eastAsia="Libre Franklin" w:hAnsi="Libre Franklin" w:cs="Libre Franklin"/>
        <w:b/>
        <w:color w:val="000000"/>
        <w:sz w:val="28"/>
        <w:szCs w:val="28"/>
        <w:highlight w:val="white"/>
      </w:rPr>
    </w:pPr>
    <w:r>
      <w:rPr>
        <w:rFonts w:ascii="Libre Franklin" w:eastAsia="Libre Franklin" w:hAnsi="Libre Franklin" w:cs="Libre Franklin"/>
        <w:b/>
        <w:color w:val="000000"/>
        <w:sz w:val="44"/>
        <w:szCs w:val="44"/>
        <w:shd w:val="clear" w:color="auto" w:fill="FFFFFF"/>
      </w:rPr>
      <w:t>SALVAGE &amp; MARINE FIREFIGHTING ANNEX</w:t>
    </w:r>
  </w:p>
  <w:p w14:paraId="4B30E589" w14:textId="77777777" w:rsidR="007D1390" w:rsidRDefault="007D1390">
    <w:pPr>
      <w:keepNext/>
      <w:widowControl/>
      <w:tabs>
        <w:tab w:val="center" w:pos="4680"/>
        <w:tab w:val="right" w:pos="9360"/>
      </w:tabs>
      <w:spacing w:after="0" w:line="240" w:lineRule="auto"/>
      <w:rPr>
        <w:color w:val="000000"/>
        <w:shd w:val="clear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90"/>
    <w:rsid w:val="006C55E9"/>
    <w:rsid w:val="007D1390"/>
    <w:rsid w:val="00885F54"/>
    <w:rsid w:val="00C7175A"/>
    <w:rsid w:val="00D85968"/>
    <w:rsid w:val="00E24927"/>
    <w:rsid w:val="00F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F052"/>
  <w15:docId w15:val="{E93DC62B-13DE-4568-B4FB-87B70C93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0" w:after="0" w:line="240" w:lineRule="auto"/>
      <w:outlineLvl w:val="0"/>
    </w:pPr>
    <w:rPr>
      <w:rFonts w:ascii="Cambria" w:eastAsia="Cambria" w:hAnsi="Cambria" w:cs="Cambria"/>
      <w:b/>
      <w:color w:val="365F91"/>
      <w:sz w:val="16"/>
      <w:szCs w:val="16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2"/>
    </w:pPr>
    <w:rPr>
      <w:rFonts w:ascii="Cambria" w:eastAsia="Cambria" w:hAnsi="Cambria" w:cs="Cambria"/>
      <w:b/>
      <w:color w:val="4F81BD"/>
      <w:sz w:val="22"/>
      <w:szCs w:val="22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 Kaplan</cp:lastModifiedBy>
  <cp:revision>6</cp:revision>
  <dcterms:created xsi:type="dcterms:W3CDTF">2020-03-22T21:10:00Z</dcterms:created>
  <dcterms:modified xsi:type="dcterms:W3CDTF">2020-04-17T22:06:00Z</dcterms:modified>
  <dc:language>en-US</dc:language>
</cp:coreProperties>
</file>