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PetNexus Failure-Mode Canon Patch — proveniq-pet911</w:t>
      </w:r>
    </w:p>
    <w:p>
      <w:r>
        <w:rPr>
          <w:i/>
          <w:sz w:val="22"/>
        </w:rPr>
        <w:t>Repository-scoped patch set (Antigravity law)</w:t>
      </w:r>
    </w:p>
    <w:p>
      <w:r>
        <w:t>Date: January 12, 2026</w:t>
      </w:r>
    </w:p>
    <w:p>
      <w:r>
        <w:t>Repository Scope: proveniq-pet911</w:t>
      </w:r>
    </w:p>
    <w:p>
      <w:r>
        <w:t>Mode: Antigravity (canonical law, invariants, audit-safe specifications only)</w:t>
      </w:r>
    </w:p>
    <w:p>
      <w:r>
        <w:t>Status: Patch Set (synthesized from Claude review + ChatGPT additions + additional gaps)</w:t>
      </w:r>
    </w:p>
    <w:p/>
    <w:p>
      <w:pPr>
        <w:pStyle w:val="Heading1"/>
      </w:pPr>
      <w:r>
        <w:t>1. Synthesis (What changed and why)</w:t>
      </w:r>
    </w:p>
    <w:p>
      <w:pPr>
        <w:pStyle w:val="ListBullet"/>
      </w:pPr>
      <w:r>
        <w:t>Add P0 rate limiting for lost/found case creation (P911-006) and photo reuse abuse detection (P911-007).</w:t>
      </w:r>
    </w:p>
    <w:p>
      <w:pPr>
        <w:pStyle w:val="ListBullet"/>
      </w:pPr>
      <w:r>
        <w:t>Add multi-language notification routing + deterministic fallback (I18N-001) for public-facing comms.</w:t>
      </w:r>
    </w:p>
    <w:p>
      <w:pPr>
        <w:pStyle w:val="ListBullet"/>
      </w:pPr>
      <w:r>
        <w:t>Adopt outbound integrity OUT-001 and notification replay storm OPS-001 where Pet911 owns public dispatch logic.</w:t>
      </w:r>
    </w:p>
    <w:p>
      <w:pPr>
        <w:pStyle w:val="ListBullet"/>
      </w:pPr>
      <w:r>
        <w:t>Participate in CHAIN-004 arbitration gating to prevent auto-resolution during Teleport overlap.</w:t>
      </w:r>
    </w:p>
    <w:p>
      <w:pPr>
        <w:pStyle w:val="Heading1"/>
      </w:pPr>
      <w:r>
        <w:t>2. New/Updated P0 Test Cases (Repository obligations)</w:t>
      </w:r>
    </w:p>
    <w:p>
      <w:pPr>
        <w:pStyle w:val="Heading2"/>
      </w:pPr>
      <w:r>
        <w:t>P911-006: Public Lost/Found Case Creation Rate Limits, Step-Up Verification, and Abuse Ladder</w:t>
      </w:r>
    </w:p>
    <w:p>
      <w:r>
        <w:t>Priority: P0</w:t>
      </w:r>
    </w:p>
    <w:p>
      <w:r>
        <w:t>Tags: Security, Cognitive, Operational, Economic, Reputational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Invariant</w:t>
            </w:r>
          </w:p>
        </w:tc>
        <w:tc>
          <w:tcPr>
            <w:tcW w:type="dxa" w:w="4320"/>
          </w:tcPr>
          <w:p>
            <w:r>
              <w:t>Public lost/found case creation MUST enforce rate limits and an abuse-response ladder (step-up verification, moderation queue, rejection) based on actor/network/device risk signals; the system MUST remain usable under spam storms.</w:t>
            </w:r>
          </w:p>
        </w:tc>
      </w:tr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Botnet creates thousands of fake lost pets to trigger alerts and overwhelm moderators.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(1) Public case creation endpoint active. (2) Abuse scoring enabled. (3) Rate limit policy configured per jurisdiction/community risk level.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Submit N case creations per minute from same IP/device and from distributed IPs with shared fingerprints; include recycled images and repeated contact info.</w:t>
            </w:r>
          </w:p>
        </w:tc>
      </w:tr>
      <w:tr>
        <w:tc>
          <w:tcPr>
            <w:tcW w:type="dxa" w:w="4320"/>
          </w:tcPr>
          <w:p>
            <w:r>
              <w:t>Expected Behavior</w:t>
            </w:r>
          </w:p>
        </w:tc>
        <w:tc>
          <w:tcPr>
            <w:tcW w:type="dxa" w:w="4320"/>
          </w:tcPr>
          <w:p>
            <w:r>
              <w:t>System throttles and escalates to step-up verification, then moderation queue, then hard reject; legitimate users remain able to submit at a safe baseline; no automatic high-reach alerts occur from untrusted creation spikes.</w:t>
            </w:r>
          </w:p>
        </w:tc>
      </w:tr>
      <w:tr>
        <w:tc>
          <w:tcPr>
            <w:tcW w:type="dxa" w:w="4320"/>
          </w:tcPr>
          <w:p>
            <w:r>
              <w:t>Memory Assertions</w:t>
            </w:r>
          </w:p>
        </w:tc>
        <w:tc>
          <w:tcPr>
            <w:tcW w:type="dxa" w:w="4320"/>
          </w:tcPr>
          <w:p>
            <w:r>
              <w:t>MUST append `PublicCaseSubmitted`; MUST append `AbuseSignalDetected` with reason codes; MUST append `PublicCaseRoutedToModeration` or `PublicCaseRejected` with policy citation; MUST append `RateLimitApplied` events with counters.</w:t>
            </w:r>
          </w:p>
        </w:tc>
      </w:tr>
      <w:tr>
        <w:tc>
          <w:tcPr>
            <w:tcW w:type="dxa" w:w="4320"/>
          </w:tcPr>
          <w:p>
            <w:r>
              <w:t>Projection Assertions</w:t>
            </w:r>
          </w:p>
        </w:tc>
        <w:tc>
          <w:tcPr>
            <w:tcW w:type="dxa" w:w="4320"/>
          </w:tcPr>
          <w:p>
            <w:r>
              <w:t>Moderators see grouped spam clusters; public submitters receive clear next steps; dashboards show system in 'abuse control' mode if thresholds exceeded.</w:t>
            </w:r>
          </w:p>
        </w:tc>
      </w:tr>
      <w:tr>
        <w:tc>
          <w:tcPr>
            <w:tcW w:type="dxa" w:w="4320"/>
          </w:tcPr>
          <w:p>
            <w:r>
              <w:t>Audit Assertions</w:t>
            </w:r>
          </w:p>
        </w:tc>
        <w:tc>
          <w:tcPr>
            <w:tcW w:type="dxa" w:w="4320"/>
          </w:tcPr>
          <w:p>
            <w:r>
              <w:t>Auditor can see applied limits, escalation decisions, and evidence that false cases did not trigger broad alerts; demonstrates nondiscriminatory policy application via documented thresholds.</w:t>
            </w:r>
          </w:p>
        </w:tc>
      </w:tr>
      <w:tr>
        <w:tc>
          <w:tcPr>
            <w:tcW w:type="dxa" w:w="4320"/>
          </w:tcPr>
          <w:p>
            <w:r>
              <w:t>Failure Mode</w:t>
            </w:r>
          </w:p>
        </w:tc>
        <w:tc>
          <w:tcPr>
            <w:tcW w:type="dxa" w:w="4320"/>
          </w:tcPr>
          <w:p>
            <w:r>
              <w:t>Moderation queue collapses; false alerts go public; brand damage; carrier blocking; safety incidents.</w:t>
            </w:r>
          </w:p>
        </w:tc>
      </w:tr>
    </w:tbl>
    <w:p>
      <w:pPr>
        <w:pStyle w:val="Heading2"/>
      </w:pPr>
      <w:r>
        <w:t>P911-007: Photo Reuse and Contact Reuse Detection for Fake Case Creation</w:t>
      </w:r>
    </w:p>
    <w:p>
      <w:r>
        <w:t>Priority: P0</w:t>
      </w:r>
    </w:p>
    <w:p>
      <w:r>
        <w:t>Tags: Security, Reputational, Operational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Invariant</w:t>
            </w:r>
          </w:p>
        </w:tc>
        <w:tc>
          <w:tcPr>
            <w:tcW w:type="dxa" w:w="4320"/>
          </w:tcPr>
          <w:p>
            <w:r>
              <w:t>Case creation MUST detect high-confidence photo reuse and contact reuse across unrelated cases and MUST route suspicious cases to abuse workflow without silently blocking legitimate reuse scenarios (e.g., multi-pet households).</w:t>
            </w:r>
          </w:p>
        </w:tc>
      </w:tr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Scammer reuses the same pet photo and phone number across multiple fake cases to solicit money.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(1) Perceptual hashing or equivalent photo fingerprint available. (2) Contact normalization policy exists. (3) Abuse workflow exists.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Create multiple cases reusing identical or near-identical photos with varied captions; reuse same phone/email across many cases; include benign control where household reports two pets with same contact.</w:t>
            </w:r>
          </w:p>
        </w:tc>
      </w:tr>
      <w:tr>
        <w:tc>
          <w:tcPr>
            <w:tcW w:type="dxa" w:w="4320"/>
          </w:tcPr>
          <w:p>
            <w:r>
              <w:t>Expected Behavior</w:t>
            </w:r>
          </w:p>
        </w:tc>
        <w:tc>
          <w:tcPr>
            <w:tcW w:type="dxa" w:w="4320"/>
          </w:tcPr>
          <w:p>
            <w:r>
              <w:t>System flags suspicious clusters; routes to moderation; allows benign household reuse with higher trust signals; never auto-sends high-reach alerts from flagged cases without human approval.</w:t>
            </w:r>
          </w:p>
        </w:tc>
      </w:tr>
      <w:tr>
        <w:tc>
          <w:tcPr>
            <w:tcW w:type="dxa" w:w="4320"/>
          </w:tcPr>
          <w:p>
            <w:r>
              <w:t>Memory Assertions</w:t>
            </w:r>
          </w:p>
        </w:tc>
        <w:tc>
          <w:tcPr>
            <w:tcW w:type="dxa" w:w="4320"/>
          </w:tcPr>
          <w:p>
            <w:r>
              <w:t>MUST append `PhotoFingerprintRecorded`; MUST append `AbuseClusterDetected`; MUST append `PublicCaseRoutedToModeration` with cluster id; MUST append `ModeratorDispositionRecorded` outcomes.</w:t>
            </w:r>
          </w:p>
        </w:tc>
      </w:tr>
      <w:tr>
        <w:tc>
          <w:tcPr>
            <w:tcW w:type="dxa" w:w="4320"/>
          </w:tcPr>
          <w:p>
            <w:r>
              <w:t>Projection Assertions</w:t>
            </w:r>
          </w:p>
        </w:tc>
        <w:tc>
          <w:tcPr>
            <w:tcW w:type="dxa" w:w="4320"/>
          </w:tcPr>
          <w:p>
            <w:r>
              <w:t>Moderation UI shows cluster view with shared artifacts; operators can approve/deny with reasons; approved cases proceed to normal flow.</w:t>
            </w:r>
          </w:p>
        </w:tc>
      </w:tr>
      <w:tr>
        <w:tc>
          <w:tcPr>
            <w:tcW w:type="dxa" w:w="4320"/>
          </w:tcPr>
          <w:p>
            <w:r>
              <w:t>Audit Assertions</w:t>
            </w:r>
          </w:p>
        </w:tc>
        <w:tc>
          <w:tcPr>
            <w:tcW w:type="dxa" w:w="4320"/>
          </w:tcPr>
          <w:p>
            <w:r>
              <w:t>Auditor can review why a case was flagged, how it was resolved, and confirm that flagged cases did not trigger automated broad alerts.</w:t>
            </w:r>
          </w:p>
        </w:tc>
      </w:tr>
      <w:tr>
        <w:tc>
          <w:tcPr>
            <w:tcW w:type="dxa" w:w="4320"/>
          </w:tcPr>
          <w:p>
            <w:r>
              <w:t>Failure Mode</w:t>
            </w:r>
          </w:p>
        </w:tc>
        <w:tc>
          <w:tcPr>
            <w:tcW w:type="dxa" w:w="4320"/>
          </w:tcPr>
          <w:p>
            <w:r>
              <w:t>Scams proliferate; public loses trust; victims harmed; platform becomes unusable.</w:t>
            </w:r>
          </w:p>
        </w:tc>
      </w:tr>
    </w:tbl>
    <w:p>
      <w:pPr>
        <w:pStyle w:val="Heading2"/>
      </w:pPr>
      <w:r>
        <w:t>OPS-001: Notification Replay Storm: Safe Drain, Cancellation Sweep, and Carrier Protection</w:t>
      </w:r>
    </w:p>
    <w:p>
      <w:r>
        <w:t>Priority: P0</w:t>
      </w:r>
    </w:p>
    <w:p>
      <w:r>
        <w:t>Tags: Operational, Reputational, Cognitive, Economic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Invariant</w:t>
            </w:r>
          </w:p>
        </w:tc>
        <w:tc>
          <w:tcPr>
            <w:tcW w:type="dxa" w:w="4320"/>
          </w:tcPr>
          <w:p>
            <w:r>
              <w:t>When notification backlogs recover after outage, the system MUST drain via priority queues, channel throttles, deduplication, and cancellation sweeping; recovery MUST NOT cause a mass blast that exceeds configured safety budgets.</w:t>
            </w:r>
          </w:p>
        </w:tc>
      </w:tr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An outage accumulates 200,000 queued notifications. When service returns, naive replay blasts all at once, spamming users and triggering carrier blocks.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(1) Notification queue contains &gt;=200k jobs across channels. (2) At least 10% of jobs are now obsolete (cases marked Found/Closed). (3) Channel providers impose rate limits.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Restore notification service; begin drain; concurrently mark additional cases Found; observe drain behavior.</w:t>
            </w:r>
          </w:p>
        </w:tc>
      </w:tr>
      <w:tr>
        <w:tc>
          <w:tcPr>
            <w:tcW w:type="dxa" w:w="4320"/>
          </w:tcPr>
          <w:p>
            <w:r>
              <w:t>Expected Behavior</w:t>
            </w:r>
          </w:p>
        </w:tc>
        <w:tc>
          <w:tcPr>
            <w:tcW w:type="dxa" w:w="4320"/>
          </w:tcPr>
          <w:p>
            <w:r>
              <w:t>System enters 'Recovery Drain Mode': cancels obsolete jobs; drains by priority; enforces per-channel and per-user caps; provides operator controls and metrics; never exceeds configured max sends/min.</w:t>
            </w:r>
          </w:p>
        </w:tc>
      </w:tr>
      <w:tr>
        <w:tc>
          <w:tcPr>
            <w:tcW w:type="dxa" w:w="4320"/>
          </w:tcPr>
          <w:p>
            <w:r>
              <w:t>Memory Assertions</w:t>
            </w:r>
          </w:p>
        </w:tc>
        <w:tc>
          <w:tcPr>
            <w:tcW w:type="dxa" w:w="4320"/>
          </w:tcPr>
          <w:p>
            <w:r>
              <w:t>MUST append `NotificationRecoveryModeEntered`; MUST append `NotificationJobCancelled` for obsolete; MUST append `NotificationDeliveryAttempted/Confirmed/Failed`; MUST append `NotificationRecoveryModeExited` with summary metrics.</w:t>
            </w:r>
          </w:p>
        </w:tc>
      </w:tr>
      <w:tr>
        <w:tc>
          <w:tcPr>
            <w:tcW w:type="dxa" w:w="4320"/>
          </w:tcPr>
          <w:p>
            <w:r>
              <w:t>Projection Assertions</w:t>
            </w:r>
          </w:p>
        </w:tc>
        <w:tc>
          <w:tcPr>
            <w:tcW w:type="dxa" w:w="4320"/>
          </w:tcPr>
          <w:p>
            <w:r>
              <w:t>Users do not receive duplicate or obsolete alerts; UI shows recovery state, progress, cancellations, and estimated completion.</w:t>
            </w:r>
          </w:p>
        </w:tc>
      </w:tr>
      <w:tr>
        <w:tc>
          <w:tcPr>
            <w:tcW w:type="dxa" w:w="4320"/>
          </w:tcPr>
          <w:p>
            <w:r>
              <w:t>Audit Assertions</w:t>
            </w:r>
          </w:p>
        </w:tc>
        <w:tc>
          <w:tcPr>
            <w:tcW w:type="dxa" w:w="4320"/>
          </w:tcPr>
          <w:p>
            <w:r>
              <w:t>Auditor report shows counts by channel, cancellation reasons, throttle settings used, and evidence that 'Found' cancellations prevented harm.</w:t>
            </w:r>
          </w:p>
        </w:tc>
      </w:tr>
      <w:tr>
        <w:tc>
          <w:tcPr>
            <w:tcW w:type="dxa" w:w="4320"/>
          </w:tcPr>
          <w:p>
            <w:r>
              <w:t>Failure Mode</w:t>
            </w:r>
          </w:p>
        </w:tc>
        <w:tc>
          <w:tcPr>
            <w:tcW w:type="dxa" w:w="4320"/>
          </w:tcPr>
          <w:p>
            <w:r>
              <w:t>Mass blast spams public; carrier suppression; reputational harm; operators cannot explain why obsolete alerts went out.</w:t>
            </w:r>
          </w:p>
        </w:tc>
      </w:tr>
    </w:tbl>
    <w:p>
      <w:pPr>
        <w:pStyle w:val="Heading2"/>
      </w:pPr>
      <w:r>
        <w:t>OUT-001: Outbound Integrity: Idempotent External Updates and Spam-Safe Retries</w:t>
      </w:r>
    </w:p>
    <w:p>
      <w:r>
        <w:t>Priority: P0</w:t>
      </w:r>
    </w:p>
    <w:p>
      <w:r>
        <w:t>Tags: Operational, Reputational, Financial, Economic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Invariant</w:t>
            </w:r>
          </w:p>
        </w:tc>
        <w:tc>
          <w:tcPr>
            <w:tcW w:type="dxa" w:w="4320"/>
          </w:tcPr>
          <w:p>
            <w:r>
              <w:t>All outbound calls that can cause external side-effects (registry updates, partner webhooks, notifications) MUST be idempotent, retry-safe, rate-limited, and deduplicated; outage recovery MUST NOT cause mass-blast duplication.</w:t>
            </w:r>
          </w:p>
        </w:tc>
      </w:tr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After an outage, the system retries outbound updates; external systems receive duplicates (double registry update, 12 SMS messages).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(1) At least one external outbound integration enabled. (2) A queued outbound job exists. (3) Simulated outage causes retries and delayed acknowledgements.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Trigger outbound send; force timeout after external system applied side-effect; retry N times; then restore acknowledgment.</w:t>
            </w:r>
          </w:p>
        </w:tc>
      </w:tr>
      <w:tr>
        <w:tc>
          <w:tcPr>
            <w:tcW w:type="dxa" w:w="4320"/>
          </w:tcPr>
          <w:p>
            <w:r>
              <w:t>Expected Behavior</w:t>
            </w:r>
          </w:p>
        </w:tc>
        <w:tc>
          <w:tcPr>
            <w:tcW w:type="dxa" w:w="4320"/>
          </w:tcPr>
          <w:p>
            <w:r>
              <w:t>System applies 'exactly-once effect' semantics from its perspective: it MUST not emit multiple distinct side-effect intents; retries MUST reuse same idempotency key and de-dupe at dispatch layer; rate limits enforce safe drain.</w:t>
            </w:r>
          </w:p>
        </w:tc>
      </w:tr>
      <w:tr>
        <w:tc>
          <w:tcPr>
            <w:tcW w:type="dxa" w:w="4320"/>
          </w:tcPr>
          <w:p>
            <w:r>
              <w:t>Memory Assertions</w:t>
            </w:r>
          </w:p>
        </w:tc>
        <w:tc>
          <w:tcPr>
            <w:tcW w:type="dxa" w:w="4320"/>
          </w:tcPr>
          <w:p>
            <w:r>
              <w:t>MUST append `OutboundIntentCreated` once; MUST append `OutboundDeliveryAttempted` per attempt with same idempotency key; MUST append `OutboundDeliveryConfirmed` once when acknowledged; MUST append `OutboundDeliverySuppressedDuplicate` when de-duping user-visible sends.</w:t>
            </w:r>
          </w:p>
        </w:tc>
      </w:tr>
      <w:tr>
        <w:tc>
          <w:tcPr>
            <w:tcW w:type="dxa" w:w="4320"/>
          </w:tcPr>
          <w:p>
            <w:r>
              <w:t>Projection Assertions</w:t>
            </w:r>
          </w:p>
        </w:tc>
        <w:tc>
          <w:tcPr>
            <w:tcW w:type="dxa" w:w="4320"/>
          </w:tcPr>
          <w:p>
            <w:r>
              <w:t>Users/partners receive at most one effective update per intent; UI shows delivery status and retry history without spawning duplicates.</w:t>
            </w:r>
          </w:p>
        </w:tc>
      </w:tr>
      <w:tr>
        <w:tc>
          <w:tcPr>
            <w:tcW w:type="dxa" w:w="4320"/>
          </w:tcPr>
          <w:p>
            <w:r>
              <w:t>Audit Assertions</w:t>
            </w:r>
          </w:p>
        </w:tc>
        <w:tc>
          <w:tcPr>
            <w:tcW w:type="dxa" w:w="4320"/>
          </w:tcPr>
          <w:p>
            <w:r>
              <w:t>Auditor can see intent lifecycle, attempts, idempotency keys, and evidence that duplicates were suppressed; post-incident report shows max send rate and counts per channel.</w:t>
            </w:r>
          </w:p>
        </w:tc>
      </w:tr>
      <w:tr>
        <w:tc>
          <w:tcPr>
            <w:tcW w:type="dxa" w:w="4320"/>
          </w:tcPr>
          <w:p>
            <w:r>
              <w:t>Failure Mode</w:t>
            </w:r>
          </w:p>
        </w:tc>
        <w:tc>
          <w:tcPr>
            <w:tcW w:type="dxa" w:w="4320"/>
          </w:tcPr>
          <w:p>
            <w:r>
              <w:t>Duplicate side-effects occur (registry overwritten twice; users spammed); reputation damage; carriers throttle/block; partner data divergence.</w:t>
            </w:r>
          </w:p>
        </w:tc>
      </w:tr>
    </w:tbl>
    <w:p>
      <w:pPr>
        <w:pStyle w:val="Heading2"/>
      </w:pPr>
      <w:r>
        <w:t>CHAIN-004: Three-Way Race: Teleport Import + Live Pet360 Edit + Pet911 Match Firing Mid-Import</w:t>
      </w:r>
    </w:p>
    <w:p>
      <w:r>
        <w:t>Priority: P0</w:t>
      </w:r>
    </w:p>
    <w:p>
      <w:r>
        <w:t>Tags: Logical, Operational, Security, Reputational,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Invariant</w:t>
            </w:r>
          </w:p>
        </w:tc>
        <w:tc>
          <w:tcPr>
            <w:tcW w:type="dxa" w:w="4320"/>
          </w:tcPr>
          <w:p>
            <w:r>
              <w:t>During Teleport import overlap windows, cross-system matches (Pet911) MUST NOT auto-resolve against in-flight identity/custody state; the system MUST route conflicts into arbitration with full timeline and provenance.</w:t>
            </w:r>
          </w:p>
        </w:tc>
      </w:tr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Teleport imports a legacy animal while staff are editing the same animal in Pet360; simultaneously a Pet911 match is triggered (sighting or lost case) referencing the same microchip/photo.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(1) Teleport running incremental/brownfield import. (2) Pet360 record exists and is being edited. (3) Pet911 match pipeline active. (4) Overlapping identifiers (microchip, tag, photo) present.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Start import; create/edit overlapping Pet360 fields; fire Pet911 match; complete import.</w:t>
            </w:r>
          </w:p>
        </w:tc>
      </w:tr>
      <w:tr>
        <w:tc>
          <w:tcPr>
            <w:tcW w:type="dxa" w:w="4320"/>
          </w:tcPr>
          <w:p>
            <w:r>
              <w:t>Expected Behavior</w:t>
            </w:r>
          </w:p>
        </w:tc>
        <w:tc>
          <w:tcPr>
            <w:tcW w:type="dxa" w:w="4320"/>
          </w:tcPr>
          <w:p>
            <w:r>
              <w:t>System detects three-way contention; prevents auto-linking; creates a single arbitration task with impact preview; requires human decision event to finalize linkage and notification actions.</w:t>
            </w:r>
          </w:p>
        </w:tc>
      </w:tr>
      <w:tr>
        <w:tc>
          <w:tcPr>
            <w:tcW w:type="dxa" w:w="4320"/>
          </w:tcPr>
          <w:p>
            <w:r>
              <w:t>Memory Assertions</w:t>
            </w:r>
          </w:p>
        </w:tc>
        <w:tc>
          <w:tcPr>
            <w:tcW w:type="dxa" w:w="4320"/>
          </w:tcPr>
          <w:p>
            <w:r>
              <w:t>MUST append `ImportEntityStaged` and `ImportEntityCommitted` with import batch id; MUST append `CrossSystemMatchDetected`; MUST append `IdentityConflictDetected` (or `ArbitrationRequired`) with pointers to all three sources; MUST append `ArbitrationDecisionRecorded` on resolution.</w:t>
            </w:r>
          </w:p>
        </w:tc>
      </w:tr>
      <w:tr>
        <w:tc>
          <w:tcPr>
            <w:tcW w:type="dxa" w:w="4320"/>
          </w:tcPr>
          <w:p>
            <w:r>
              <w:t>Projection Assertions</w:t>
            </w:r>
          </w:p>
        </w:tc>
        <w:tc>
          <w:tcPr>
            <w:tcW w:type="dxa" w:w="4320"/>
          </w:tcPr>
          <w:p>
            <w:r>
              <w:t>Operators see one unified conflict card with the three timelines; notifications are held until decision; final linked state is consistent across systems after decision.</w:t>
            </w:r>
          </w:p>
        </w:tc>
      </w:tr>
      <w:tr>
        <w:tc>
          <w:tcPr>
            <w:tcW w:type="dxa" w:w="4320"/>
          </w:tcPr>
          <w:p>
            <w:r>
              <w:t>Audit Assertions</w:t>
            </w:r>
          </w:p>
        </w:tc>
        <w:tc>
          <w:tcPr>
            <w:tcW w:type="dxa" w:w="4320"/>
          </w:tcPr>
          <w:p>
            <w:r>
              <w:t>Auditor can query as-of views to see what the system believed at each point; shows that notifications were suppressed pending human decision and records the decision rationale.</w:t>
            </w:r>
          </w:p>
        </w:tc>
      </w:tr>
      <w:tr>
        <w:tc>
          <w:tcPr>
            <w:tcW w:type="dxa" w:w="4320"/>
          </w:tcPr>
          <w:p>
            <w:r>
              <w:t>Failure Mode</w:t>
            </w:r>
          </w:p>
        </w:tc>
        <w:tc>
          <w:tcPr>
            <w:tcW w:type="dxa" w:w="4320"/>
          </w:tcPr>
          <w:p>
            <w:r>
              <w:t>Auto-link chooses wrong entity; sends false alert to public/owner; creates custody confusion; destroys trust in migration wedge.</w:t>
            </w:r>
          </w:p>
        </w:tc>
      </w:tr>
    </w:tbl>
    <w:p>
      <w:pPr>
        <w:pStyle w:val="Heading2"/>
      </w:pPr>
      <w:r>
        <w:t>I18N-001: Multi-Language Notifications: Preference Routing, Template Fallback, and Safety Overrides</w:t>
      </w:r>
    </w:p>
    <w:p>
      <w:r>
        <w:t>Priority: P0</w:t>
      </w:r>
    </w:p>
    <w:p>
      <w:r>
        <w:t>Tags: Operational, Reputational,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Invariant</w:t>
            </w:r>
          </w:p>
        </w:tc>
        <w:tc>
          <w:tcPr>
            <w:tcW w:type="dxa" w:w="4320"/>
          </w:tcPr>
          <w:p>
            <w:r>
              <w:t>Notifications MUST honor recipient language preference when available; if a template for the preferred language is missing, system MUST fall back deterministically (configured fallback language) and MUST log the fallback; critical alerts MUST still deliver under override policy with citation.</w:t>
            </w:r>
          </w:p>
        </w:tc>
      </w:tr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Shelter serves Spanish-speaking community. User preference is 'es'. A notification template exists only in English.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(1) User language preference stored. (2) Notification templates are versioned by language. (3) Fallback language configured. (4) At least one critical and one non-critical notification type.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Send notifications to 'es' user with missing 'es' template; send critical alert with opt-out set; send non-critical with opt-out set.</w:t>
            </w:r>
          </w:p>
        </w:tc>
      </w:tr>
      <w:tr>
        <w:tc>
          <w:tcPr>
            <w:tcW w:type="dxa" w:w="4320"/>
          </w:tcPr>
          <w:p>
            <w:r>
              <w:t>Expected Behavior</w:t>
            </w:r>
          </w:p>
        </w:tc>
        <w:tc>
          <w:tcPr>
            <w:tcW w:type="dxa" w:w="4320"/>
          </w:tcPr>
          <w:p>
            <w:r>
              <w:t>System sends in Spanish when available; otherwise uses fallback language and records fallback event; critical bypasses opt-out only when category is enumerated and cited; non-critical respects opt-out.</w:t>
            </w:r>
          </w:p>
        </w:tc>
      </w:tr>
      <w:tr>
        <w:tc>
          <w:tcPr>
            <w:tcW w:type="dxa" w:w="4320"/>
          </w:tcPr>
          <w:p>
            <w:r>
              <w:t>Memory Assertions</w:t>
            </w:r>
          </w:p>
        </w:tc>
        <w:tc>
          <w:tcPr>
            <w:tcW w:type="dxa" w:w="4320"/>
          </w:tcPr>
          <w:p>
            <w:r>
              <w:t>MUST append `NotificationLocalized` or `NotificationLocalizationFallbackUsed` with template version and language; for bypass, append `NotificationPreferenceBypassApplied` with policy citation.</w:t>
            </w:r>
          </w:p>
        </w:tc>
      </w:tr>
      <w:tr>
        <w:tc>
          <w:tcPr>
            <w:tcW w:type="dxa" w:w="4320"/>
          </w:tcPr>
          <w:p>
            <w:r>
              <w:t>Projection Assertions</w:t>
            </w:r>
          </w:p>
        </w:tc>
        <w:tc>
          <w:tcPr>
            <w:tcW w:type="dxa" w:w="4320"/>
          </w:tcPr>
          <w:p>
            <w:r>
              <w:t>User sees consistent language behavior; UI shows which language was used and why; operators can see missing-template warnings.</w:t>
            </w:r>
          </w:p>
        </w:tc>
      </w:tr>
      <w:tr>
        <w:tc>
          <w:tcPr>
            <w:tcW w:type="dxa" w:w="4320"/>
          </w:tcPr>
          <w:p>
            <w:r>
              <w:t>Audit Assertions</w:t>
            </w:r>
          </w:p>
        </w:tc>
        <w:tc>
          <w:tcPr>
            <w:tcW w:type="dxa" w:w="4320"/>
          </w:tcPr>
          <w:p>
            <w:r>
              <w:t>Auditor can verify language preference honoring and the fallback policy, including counts of fallbacks and the safety override citations for bypassed preferences.</w:t>
            </w:r>
          </w:p>
        </w:tc>
      </w:tr>
      <w:tr>
        <w:tc>
          <w:tcPr>
            <w:tcW w:type="dxa" w:w="4320"/>
          </w:tcPr>
          <w:p>
            <w:r>
              <w:t>Failure Mode</w:t>
            </w:r>
          </w:p>
        </w:tc>
        <w:tc>
          <w:tcPr>
            <w:tcW w:type="dxa" w:w="4320"/>
          </w:tcPr>
          <w:p>
            <w:r>
              <w:t>Users receive incomprehensible alerts; safety-critical alerts suppressed by opt-out without authorized bypass; reputational harm and equity concerns.</w:t>
            </w:r>
          </w:p>
        </w:tc>
      </w:tr>
    </w:tbl>
    <w:p>
      <w:pPr>
        <w:pStyle w:val="Heading1"/>
      </w:pPr>
      <w:r>
        <w:t>3. Top-35 Pilot Gate Impact (Repo view)</w:t>
      </w:r>
    </w:p>
    <w:p>
      <w:pPr>
        <w:pStyle w:val="ListBullet"/>
      </w:pPr>
      <w:r>
        <w:t>Add to Top-35: PAY-001, REG-001, P911-006, AUD-001, EXR-001, OUT-001 (per Claude synthesis).</w:t>
      </w:r>
    </w:p>
    <w:p>
      <w:pPr>
        <w:pStyle w:val="ListBullet"/>
      </w:pPr>
      <w:r>
        <w:t>Keep: LFC-001 (feature rollback normalization) as P0 gate (prevents corruption).</w:t>
      </w:r>
    </w:p>
    <w:p>
      <w:pPr>
        <w:pStyle w:val="ListBullet"/>
      </w:pPr>
      <w:r>
        <w:t>Demote candidate: CHAIN-002 (stale camera confirm) to P1 if gate list must stay at 35, while retaining CHAIN-001 and CHAIN-003.</w:t>
      </w:r>
    </w:p>
    <w:p>
      <w:pPr>
        <w:pStyle w:val="ListBullet"/>
      </w:pPr>
      <w:r>
        <w:t>Demote candidate (conditional): AOS-008 (schema upcasting) to P1 only if pilot strictly controls client versions AND has explicit migration window controls.</w:t>
      </w:r>
    </w:p>
    <w:p>
      <w:pPr>
        <w:pStyle w:val="Heading1"/>
      </w:pPr>
      <w:r>
        <w:t>4. Fixture Pack Additions (Repo view)</w:t>
      </w:r>
    </w:p>
    <w:p>
      <w:pPr>
        <w:pStyle w:val="ListBullet"/>
      </w:pPr>
      <w:r>
        <w:t>Webhook spoof payloads: invalid signature, replayed provider ids, conflict payloads (payments + registry).</w:t>
      </w:r>
    </w:p>
    <w:p>
      <w:pPr>
        <w:pStyle w:val="ListBullet"/>
      </w:pPr>
      <w:r>
        <w:t>Notification storm fixtures: 200k backlog dataset with 10% obsolete jobs and mixed channel quotas.</w:t>
      </w:r>
    </w:p>
    <w:p>
      <w:pPr>
        <w:pStyle w:val="ListBullet"/>
      </w:pPr>
      <w:r>
        <w:t>Three-way race fixtures: overlapping identifiers (microchip, photo) across Teleport batch, Pet360 live edit, Pet911 match.</w:t>
      </w:r>
    </w:p>
    <w:p>
      <w:pPr>
        <w:pStyle w:val="ListBullet"/>
      </w:pPr>
      <w:r>
        <w:t>Print queue fixtures: 50 print intents + offline/online transition + double-click reprint patterns.</w:t>
      </w:r>
    </w:p>
    <w:p>
      <w:pPr>
        <w:pStyle w:val="ListBullet"/>
      </w:pPr>
      <w:r>
        <w:t>I18N fixtures: template sets (en-only, es+en), user preference matrix, opt-out matrix, critical override matrix.</w:t>
      </w:r>
    </w:p>
    <w:p>
      <w:pPr>
        <w:pStyle w:val="ListBullet"/>
      </w:pPr>
      <w:r>
        <w:t>Batch atomicity fixtures: 50 entities with deterministic failure at item 37, resumable cursor fixture.</w:t>
      </w:r>
    </w:p>
    <w:p>
      <w:pPr>
        <w:pStyle w:val="Heading1"/>
      </w:pPr>
      <w:r>
        <w:t>5. Open Decisions (Fail-Closed Defaults)</w:t>
      </w:r>
    </w:p>
    <w:p>
      <w:pPr>
        <w:pStyle w:val="ListBullet"/>
      </w:pPr>
      <w:r>
        <w:t>Crypto failure handling: canon requires fail-closed + incident; mechanism (read-only mode vs scoped hard-fail) remains a policy choice.</w:t>
      </w:r>
    </w:p>
    <w:p>
      <w:pPr>
        <w:pStyle w:val="ListBullet"/>
      </w:pPr>
      <w:r>
        <w:t>Batch semantics: repo MUST declare which operations are all-or-nothing vs checkpointed; default recommendation is checkpointed with explicit cursor for long-running batches.</w:t>
      </w:r>
    </w:p>
    <w:p>
      <w:pPr>
        <w:pStyle w:val="ListBullet"/>
      </w:pPr>
      <w:r>
        <w:t>Localization fallback chain: MUST be deterministic and configured (e.g., es-&gt;en); missing template MUST be logged and reportable.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