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8.png" ContentType="image/png"/>
  <Override PartName="/word/media/rId21.png" ContentType="image/png"/>
  <Override PartName="/word/media/rId26.png" ContentType="image/png"/>
  <Override PartName="/word/media/rId32.png" ContentType="image/png"/>
  <Override PartName="/word/media/rId35.png" ContentType="image/png"/>
  <Override PartName="/word/media/rId41.png" ContentType="image/png"/>
  <Override PartName="/word/media/rId44.png" ContentType="image/png"/>
  <Override PartName="/word/media/rId49.png" ContentType="image/png"/>
  <Override PartName="/word/media/rId54.png" ContentType="image/png"/>
  <Override PartName="/word/media/rId60.png" ContentType="image/png"/>
  <Override PartName="/word/media/rId65.png" ContentType="image/png"/>
  <Override PartName="/word/media/rId70.png" ContentType="image/png"/>
  <Override PartName="/word/media/rId75.png" ContentType="image/png"/>
  <Override PartName="/word/media/rId80.png" ContentType="image/png"/>
  <Override PartName="/word/media/rId85.png" ContentType="image/png"/>
  <Override PartName="/word/media/rId90.png" ContentType="image/png"/>
  <Override PartName="/word/media/rId9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AEMOVis Walkthrough</w:t>
      </w:r>
    </w:p>
    <w:p>
      <w:pPr>
        <w:pStyle w:val="Subtitle"/>
      </w:pPr>
      <w:r>
        <w:t xml:space="preserve">Australian Energy Market Visualisation</w:t>
      </w:r>
    </w:p>
    <w:p>
      <w:pPr>
        <w:pStyle w:val="Date"/>
      </w:pPr>
      <w:r>
        <w:t xml:space="preserve">February 2026</w:t>
      </w:r>
    </w:p>
    <w:bookmarkStart w:id="106" w:name="aemovis-walkthrough"/>
    <w:p>
      <w:pPr>
        <w:pStyle w:val="Heading1"/>
      </w:pPr>
      <w:r>
        <w:t xml:space="preserve">AEMOVis Walkthrough</w:t>
      </w:r>
    </w:p>
    <w:bookmarkStart w:id="10" w:name="introduction"/>
    <w:p>
      <w:pPr>
        <w:pStyle w:val="Heading2"/>
      </w:pPr>
      <w:r>
        <w:t xml:space="preserve">Introduction</w:t>
      </w:r>
    </w:p>
    <w:p>
      <w:pPr>
        <w:pStyle w:val="FirstParagraph"/>
      </w:pPr>
      <w:r>
        <w:t xml:space="preserve">AEMOVis is a real-time visualisation dashboard for Australia’s electricity markets. It draws live data from both the</w:t>
      </w:r>
      <w:r>
        <w:t xml:space="preserve"> </w:t>
      </w:r>
      <w:r>
        <w:rPr>
          <w:b/>
          <w:bCs/>
        </w:rPr>
        <w:t xml:space="preserve">National Electricity Market (NEM)</w:t>
      </w:r>
      <w:r>
        <w:t xml:space="preserve"> </w:t>
      </w:r>
      <w:r>
        <w:t xml:space="preserve">— covering NSW, QLD, VIC, SA, and TAS — and the</w:t>
      </w:r>
      <w:r>
        <w:t xml:space="preserve"> </w:t>
      </w:r>
      <w:r>
        <w:rPr>
          <w:b/>
          <w:bCs/>
        </w:rPr>
        <w:t xml:space="preserve">Wholesale Electricity Market (WEM)</w:t>
      </w:r>
      <w:r>
        <w:t xml:space="preserve"> </w:t>
      </w:r>
      <w:r>
        <w:t xml:space="preserve">in Western Australia.</w:t>
      </w:r>
    </w:p>
    <w:p>
      <w:pPr>
        <w:pStyle w:val="BodyText"/>
      </w:pPr>
      <w:r>
        <w:t xml:space="preserve">The core design principle is that</w:t>
      </w:r>
      <w:r>
        <w:t xml:space="preserve"> </w:t>
      </w:r>
      <w:r>
        <w:rPr>
          <w:b/>
          <w:bCs/>
        </w:rPr>
        <w:t xml:space="preserve">markets are not first-class citizens — the type of visualisation is</w:t>
      </w:r>
      <w:r>
        <w:t xml:space="preserve">. Each page represents a distinct analytical lens (price trends, fuel mix, renewable penetration, etc.) rather than a single market. Where the same visualisation applies to both NEM and WEM, both data sources are available on the same page, and the</w:t>
      </w:r>
      <w:r>
        <w:t xml:space="preserve"> </w:t>
      </w:r>
      <w:r>
        <w:rPr>
          <w:b/>
          <w:bCs/>
        </w:rPr>
        <w:t xml:space="preserve">Compare</w:t>
      </w:r>
      <w:r>
        <w:t xml:space="preserve"> </w:t>
      </w:r>
      <w:r>
        <w:t xml:space="preserve">feature allows multiple regions to be viewed side by side. This lets analysts compare across market boundaries in a single view.</w:t>
      </w:r>
    </w:p>
    <w:bookmarkStart w:id="9" w:name="key-features"/>
    <w:p>
      <w:pPr>
        <w:pStyle w:val="Heading3"/>
      </w:pPr>
      <w:r>
        <w:t xml:space="preserve">Key Features</w:t>
      </w:r>
    </w:p>
    <w:p>
      <w:pPr>
        <w:pStyle w:val="Compact"/>
        <w:numPr>
          <w:ilvl w:val="0"/>
          <w:numId w:val="1001"/>
        </w:numPr>
      </w:pPr>
      <w:r>
        <w:rPr>
          <w:b/>
          <w:bCs/>
        </w:rPr>
        <w:t xml:space="preserve">15 visualisation pages</w:t>
      </w:r>
      <w:r>
        <w:t xml:space="preserve"> </w:t>
      </w:r>
      <w:r>
        <w:t xml:space="preserve">covering price, demand, generation, fuel mix, renewables, outlook, reserves, and outages</w:t>
      </w:r>
    </w:p>
    <w:p>
      <w:pPr>
        <w:pStyle w:val="Compact"/>
        <w:numPr>
          <w:ilvl w:val="0"/>
          <w:numId w:val="1001"/>
        </w:numPr>
      </w:pPr>
      <w:r>
        <w:rPr>
          <w:b/>
          <w:bCs/>
        </w:rPr>
        <w:t xml:space="preserve">Compare mode</w:t>
      </w:r>
      <w:r>
        <w:t xml:space="preserve"> </w:t>
      </w:r>
      <w:r>
        <w:t xml:space="preserve">on applicable pages — overlay XY charts or display side-by-side pie/donut charts for multiple regions simultaneously</w:t>
      </w:r>
    </w:p>
    <w:p>
      <w:pPr>
        <w:pStyle w:val="Compact"/>
        <w:numPr>
          <w:ilvl w:val="0"/>
          <w:numId w:val="1001"/>
        </w:numPr>
      </w:pPr>
      <w:r>
        <w:rPr>
          <w:b/>
          <w:bCs/>
        </w:rPr>
        <w:t xml:space="preserve">Live polling</w:t>
      </w:r>
      <w:r>
        <w:t xml:space="preserve"> </w:t>
      </w:r>
      <w:r>
        <w:t xml:space="preserve">with 60-second refresh and stale-data guards</w:t>
      </w:r>
    </w:p>
    <w:p>
      <w:pPr>
        <w:pStyle w:val="Compact"/>
        <w:numPr>
          <w:ilvl w:val="0"/>
          <w:numId w:val="1001"/>
        </w:numPr>
      </w:pPr>
      <w:r>
        <w:rPr>
          <w:b/>
          <w:bCs/>
        </w:rPr>
        <w:t xml:space="preserve">Responsive layout</w:t>
      </w:r>
      <w:r>
        <w:t xml:space="preserve"> </w:t>
      </w:r>
      <w:r>
        <w:t xml:space="preserve">for desktop, tablet, and mobile</w:t>
      </w:r>
    </w:p>
    <w:p>
      <w:r>
        <w:pict>
          <v:rect style="width:0;height:1.5pt" o:hralign="center" o:hrstd="t" o:hr="t"/>
        </w:pict>
      </w:r>
    </w:p>
    <w:bookmarkEnd w:id="9"/>
    <w:bookmarkEnd w:id="10"/>
    <w:bookmarkStart w:id="11" w:name="table-of-contents"/>
    <w:p>
      <w:pPr>
        <w:pStyle w:val="Heading2"/>
      </w:pPr>
      <w:r>
        <w:t xml:space="preserve">Table of Contents</w:t>
      </w:r>
    </w:p>
    <w:p>
      <w:pPr>
        <w:pStyle w:val="Compact"/>
        <w:numPr>
          <w:ilvl w:val="0"/>
          <w:numId w:val="1002"/>
        </w:numPr>
      </w:pPr>
      <w:hyperlink w:anchor="X26c1f298377525f23c15b8067cf4e4fcc74f2ef">
        <w:r>
          <w:rPr>
            <w:rStyle w:val="Hyperlink"/>
          </w:rPr>
          <w:t xml:space="preserve">Dispatch Overview</w:t>
        </w:r>
      </w:hyperlink>
    </w:p>
    <w:p>
      <w:pPr>
        <w:pStyle w:val="Compact"/>
        <w:numPr>
          <w:ilvl w:val="0"/>
          <w:numId w:val="1002"/>
        </w:numPr>
      </w:pPr>
      <w:hyperlink w:anchor="X7dd139861a081a5f0da9a97c339fcceaa8a60f1">
        <w:r>
          <w:rPr>
            <w:rStyle w:val="Hyperlink"/>
          </w:rPr>
          <w:t xml:space="preserve">Price and Demand</w:t>
        </w:r>
      </w:hyperlink>
    </w:p>
    <w:p>
      <w:pPr>
        <w:pStyle w:val="Compact"/>
        <w:numPr>
          <w:ilvl w:val="0"/>
          <w:numId w:val="1002"/>
        </w:numPr>
      </w:pPr>
      <w:hyperlink w:anchor="X99da329fd7ba910285c35ef2f37adb2ece98e7d">
        <w:r>
          <w:rPr>
            <w:rStyle w:val="Hyperlink"/>
          </w:rPr>
          <w:t xml:space="preserve">Cumulative Price</w:t>
        </w:r>
      </w:hyperlink>
    </w:p>
    <w:p>
      <w:pPr>
        <w:pStyle w:val="Compact"/>
        <w:numPr>
          <w:ilvl w:val="0"/>
          <w:numId w:val="1002"/>
        </w:numPr>
      </w:pPr>
      <w:hyperlink w:anchor="Xe4cdbcaae952d8dce0b198efe92be31be1559b2">
        <w:r>
          <w:rPr>
            <w:rStyle w:val="Hyperlink"/>
          </w:rPr>
          <w:t xml:space="preserve">Fuel Mix</w:t>
        </w:r>
      </w:hyperlink>
    </w:p>
    <w:p>
      <w:pPr>
        <w:pStyle w:val="Compact"/>
        <w:numPr>
          <w:ilvl w:val="0"/>
          <w:numId w:val="1002"/>
        </w:numPr>
      </w:pPr>
      <w:hyperlink w:anchor="Xa97dd75b5c02cc3b1b7be425314a4227a869a40">
        <w:r>
          <w:rPr>
            <w:rStyle w:val="Hyperlink"/>
          </w:rPr>
          <w:t xml:space="preserve">Renewable Penetration</w:t>
        </w:r>
      </w:hyperlink>
    </w:p>
    <w:p>
      <w:pPr>
        <w:pStyle w:val="Compact"/>
        <w:numPr>
          <w:ilvl w:val="0"/>
          <w:numId w:val="1002"/>
        </w:numPr>
      </w:pPr>
      <w:hyperlink w:anchor="Xd2f48a2409e49a8e558686fe6e4094d0dd9056d">
        <w:r>
          <w:rPr>
            <w:rStyle w:val="Hyperlink"/>
          </w:rPr>
          <w:t xml:space="preserve">Average Price</w:t>
        </w:r>
      </w:hyperlink>
    </w:p>
    <w:p>
      <w:pPr>
        <w:pStyle w:val="Compact"/>
        <w:numPr>
          <w:ilvl w:val="0"/>
          <w:numId w:val="1002"/>
        </w:numPr>
      </w:pPr>
      <w:hyperlink w:anchor="Xc6c4ba3dfef50de07df51914f2366c49b255d32">
        <w:r>
          <w:rPr>
            <w:rStyle w:val="Hyperlink"/>
          </w:rPr>
          <w:t xml:space="preserve">7-Day Outlook</w:t>
        </w:r>
      </w:hyperlink>
    </w:p>
    <w:p>
      <w:pPr>
        <w:pStyle w:val="Compact"/>
        <w:numPr>
          <w:ilvl w:val="0"/>
          <w:numId w:val="1002"/>
        </w:numPr>
      </w:pPr>
      <w:hyperlink w:anchor="X7743e0f1b291fa7e4cf797918808e7ef844418b">
        <w:r>
          <w:rPr>
            <w:rStyle w:val="Hyperlink"/>
          </w:rPr>
          <w:t xml:space="preserve">FCAS Prices</w:t>
        </w:r>
      </w:hyperlink>
    </w:p>
    <w:p>
      <w:pPr>
        <w:pStyle w:val="Compact"/>
        <w:numPr>
          <w:ilvl w:val="0"/>
          <w:numId w:val="1002"/>
        </w:numPr>
      </w:pPr>
      <w:hyperlink w:anchor="X3c31942976e08b0fb2ce9f1c4305f514bad6d37">
        <w:r>
          <w:rPr>
            <w:rStyle w:val="Hyperlink"/>
          </w:rPr>
          <w:t xml:space="preserve">Net Interchange</w:t>
        </w:r>
      </w:hyperlink>
    </w:p>
    <w:p>
      <w:pPr>
        <w:pStyle w:val="Compact"/>
        <w:numPr>
          <w:ilvl w:val="0"/>
          <w:numId w:val="1002"/>
        </w:numPr>
      </w:pPr>
      <w:hyperlink w:anchor="X859eee172eababb2a2c7528a8a3a35f79553172">
        <w:r>
          <w:rPr>
            <w:rStyle w:val="Hyperlink"/>
          </w:rPr>
          <w:t xml:space="preserve">WEM Outages</w:t>
        </w:r>
      </w:hyperlink>
    </w:p>
    <w:p>
      <w:pPr>
        <w:pStyle w:val="Compact"/>
        <w:numPr>
          <w:ilvl w:val="0"/>
          <w:numId w:val="1002"/>
        </w:numPr>
      </w:pPr>
      <w:hyperlink w:anchor="X978575539a3b1b7119626b35074eac3951d15b4">
        <w:r>
          <w:rPr>
            <w:rStyle w:val="Hyperlink"/>
          </w:rPr>
          <w:t xml:space="preserve">WEM Energy Price</w:t>
        </w:r>
      </w:hyperlink>
    </w:p>
    <w:p>
      <w:pPr>
        <w:pStyle w:val="Compact"/>
        <w:numPr>
          <w:ilvl w:val="0"/>
          <w:numId w:val="1002"/>
        </w:numPr>
      </w:pPr>
      <w:hyperlink w:anchor="X84095c54a19f4f001803521813213b14f096fe8">
        <w:r>
          <w:rPr>
            <w:rStyle w:val="Hyperlink"/>
          </w:rPr>
          <w:t xml:space="preserve">DPV vs Demand</w:t>
        </w:r>
      </w:hyperlink>
    </w:p>
    <w:p>
      <w:pPr>
        <w:pStyle w:val="Compact"/>
        <w:numPr>
          <w:ilvl w:val="0"/>
          <w:numId w:val="1002"/>
        </w:numPr>
      </w:pPr>
      <w:hyperlink w:anchor="Xe6c213de78e896c23801b08321c1c6820c37fde">
        <w:r>
          <w:rPr>
            <w:rStyle w:val="Hyperlink"/>
          </w:rPr>
          <w:t xml:space="preserve">WA Dispatch</w:t>
        </w:r>
      </w:hyperlink>
    </w:p>
    <w:p>
      <w:pPr>
        <w:pStyle w:val="Compact"/>
        <w:numPr>
          <w:ilvl w:val="0"/>
          <w:numId w:val="1002"/>
        </w:numPr>
      </w:pPr>
      <w:hyperlink w:anchor="Xab00574cd89c529fc7d5c04f697481868bf4ffb">
        <w:r>
          <w:rPr>
            <w:rStyle w:val="Hyperlink"/>
          </w:rPr>
          <w:t xml:space="preserve">WA Reserves</w:t>
        </w:r>
      </w:hyperlink>
    </w:p>
    <w:p>
      <w:pPr>
        <w:pStyle w:val="Compact"/>
        <w:numPr>
          <w:ilvl w:val="0"/>
          <w:numId w:val="1002"/>
        </w:numPr>
      </w:pPr>
      <w:hyperlink w:anchor="X98164c5a358eb1fbce1a05c1e5c37cf75e11849">
        <w:r>
          <w:rPr>
            <w:rStyle w:val="Hyperlink"/>
          </w:rPr>
          <w:t xml:space="preserve">WA Gen Map</w:t>
        </w:r>
      </w:hyperlink>
    </w:p>
    <w:p>
      <w:r>
        <w:pict>
          <v:rect style="width:0;height:1.5pt" o:hralign="center" o:hrstd="t" o:hr="t"/>
        </w:pict>
      </w:r>
    </w:p>
    <w:bookmarkEnd w:id="11"/>
    <w:bookmarkStart w:id="16" w:name="dispatch-overview"/>
    <w:p>
      <w:pPr>
        <w:pStyle w:val="Heading2"/>
      </w:pPr>
      <w:r>
        <w:t xml:space="preserve">1. Dispatch Overview</w:t>
      </w:r>
    </w:p>
    <w:p>
      <w:pPr>
        <w:pStyle w:val="FirstParagraph"/>
      </w:pPr>
      <w:r>
        <w:t xml:space="preserve">The landing page provides a bird’s-eye view of all six NEM regions (NSW, QLD, VIC, SA, TAS) plus WA. Each region card shows the current spot price, demand and generation bars, and interconnector flows. This is the fastest way to assess the state of the entire Australian grid at a glance.</w:t>
      </w:r>
    </w:p>
    <w:p>
      <w:pPr>
        <w:pStyle w:val="Compact"/>
        <w:numPr>
          <w:ilvl w:val="0"/>
          <w:numId w:val="1003"/>
        </w:numPr>
      </w:pPr>
      <w:r>
        <w:rPr>
          <w:b/>
          <w:bCs/>
        </w:rPr>
        <w:t xml:space="preserve">Spot price</w:t>
      </w:r>
      <w:r>
        <w:t xml:space="preserve"> </w:t>
      </w:r>
      <w:r>
        <w:t xml:space="preserve">displayed prominently per region</w:t>
      </w:r>
    </w:p>
    <w:p>
      <w:pPr>
        <w:pStyle w:val="Compact"/>
        <w:numPr>
          <w:ilvl w:val="0"/>
          <w:numId w:val="1003"/>
        </w:numPr>
      </w:pPr>
      <w:r>
        <w:rPr>
          <w:b/>
          <w:bCs/>
        </w:rPr>
        <w:t xml:space="preserve">Demand vs generation</w:t>
      </w:r>
      <w:r>
        <w:t xml:space="preserve"> </w:t>
      </w:r>
      <w:r>
        <w:t xml:space="preserve">horizontal bars show supply-demand balance</w:t>
      </w:r>
    </w:p>
    <w:p>
      <w:pPr>
        <w:pStyle w:val="Compact"/>
        <w:numPr>
          <w:ilvl w:val="0"/>
          <w:numId w:val="1003"/>
        </w:numPr>
      </w:pPr>
      <w:r>
        <w:rPr>
          <w:b/>
          <w:bCs/>
        </w:rPr>
        <w:t xml:space="preserve">Interconnector flows</w:t>
      </w:r>
      <w:r>
        <w:t xml:space="preserve"> </w:t>
      </w:r>
      <w:r>
        <w:t xml:space="preserve">table shows import/export between neighbouring regions</w:t>
      </w:r>
    </w:p>
    <w:p>
      <w:pPr>
        <w:pStyle w:val="Compact"/>
        <w:numPr>
          <w:ilvl w:val="0"/>
          <w:numId w:val="1003"/>
        </w:numPr>
      </w:pPr>
      <w:r>
        <w:t xml:space="preserve">WA is sourced from the WEM pulse feed; NEM regions from the AEMO dispatch API</w:t>
      </w:r>
    </w:p>
    <w:bookmarkStart w:id="15" w:name="data-source"/>
    <w:p>
      <w:pPr>
        <w:pStyle w:val="Heading3"/>
      </w:pPr>
      <w:r>
        <w:t xml:space="preserve">Data Source</w:t>
      </w:r>
    </w:p>
    <w:tbl>
      <w:tblPr>
        <w:tblStyle w:val="Table"/>
        <w:tblW w:type="pct" w:w="5000"/>
        <w:tblLayout w:type="fixed"/>
        <w:tblLook w:firstRow="1" w:lastRow="0" w:firstColumn="0" w:lastColumn="0" w:noHBand="0" w:noVBand="0" w:val="0020"/>
      </w:tblPr>
      <w:tblGrid>
        <w:gridCol w:w="3520"/>
        <w:gridCol w:w="2200"/>
        <w:gridCol w:w="2200"/>
      </w:tblGrid>
      <w:tr>
        <w:trPr>
          <w:tblHeader w:val="on"/>
        </w:trPr>
        <w:tc>
          <w:tcPr/>
          <w:p>
            <w:pPr>
              <w:pStyle w:val="Compact"/>
            </w:pPr>
            <w:r>
              <w:t xml:space="preserve">Aspect</w:t>
            </w:r>
          </w:p>
        </w:tc>
        <w:tc>
          <w:tcPr/>
          <w:p>
            <w:pPr>
              <w:pStyle w:val="Compact"/>
            </w:pPr>
            <w:r>
              <w:t xml:space="preserve">NEM</w:t>
            </w:r>
          </w:p>
        </w:tc>
        <w:tc>
          <w:tcPr/>
          <w:p>
            <w:pPr>
              <w:pStyle w:val="Compact"/>
            </w:pPr>
            <w:r>
              <w:t xml:space="preserve">WEM</w:t>
            </w:r>
          </w:p>
        </w:tc>
      </w:tr>
      <w:tr>
        <w:tc>
          <w:tcPr/>
          <w:p>
            <w:pPr>
              <w:pStyle w:val="Compact"/>
            </w:pPr>
            <w:r>
              <w:rPr>
                <w:b/>
                <w:bCs/>
              </w:rPr>
              <w:t xml:space="preserve">Endpoint</w:t>
            </w:r>
          </w:p>
        </w:tc>
        <w:tc>
          <w:tcPr/>
          <w:p>
            <w:pPr>
              <w:pStyle w:val="Compact"/>
            </w:pPr>
            <w:r>
              <w:rPr>
                <w:rStyle w:val="VerbatimChar"/>
              </w:rPr>
              <w:t xml:space="preserve">/NEM/v1/PWS/NEMDashboard/elecSummary</w:t>
            </w:r>
          </w:p>
        </w:tc>
        <w:tc>
          <w:tcPr/>
          <w:p>
            <w:pPr>
              <w:pStyle w:val="Compact"/>
            </w:pPr>
            <w:r>
              <w:rPr>
                <w:rStyle w:val="VerbatimChar"/>
              </w:rPr>
              <w:t xml:space="preserve">pulse.csv</w:t>
            </w:r>
          </w:p>
        </w:tc>
      </w:tr>
      <w:tr>
        <w:tc>
          <w:tcPr/>
          <w:p>
            <w:pPr>
              <w:pStyle w:val="Compact"/>
            </w:pPr>
            <w:r>
              <w:rPr>
                <w:b/>
                <w:bCs/>
              </w:rPr>
              <w:t xml:space="preserve">Base URL</w:t>
            </w:r>
          </w:p>
        </w:tc>
        <w:tc>
          <w:tcPr/>
          <w:p>
            <w:pPr>
              <w:pStyle w:val="Compact"/>
            </w:pPr>
            <w:r>
              <w:rPr>
                <w:rStyle w:val="VerbatimChar"/>
              </w:rPr>
              <w:t xml:space="preserve">dashboards.public.aemo.com.au</w:t>
            </w:r>
          </w:p>
        </w:tc>
        <w:tc>
          <w:tcPr/>
          <w:p>
            <w:pPr>
              <w:pStyle w:val="Compact"/>
            </w:pPr>
            <w:r>
              <w:rPr>
                <w:rStyle w:val="VerbatimChar"/>
              </w:rPr>
              <w:t xml:space="preserve">data.wa.aemo.com.au</w:t>
            </w:r>
          </w:p>
        </w:tc>
      </w:tr>
      <w:tr>
        <w:tc>
          <w:tcPr/>
          <w:p>
            <w:pPr>
              <w:pStyle w:val="Compact"/>
            </w:pPr>
            <w:r>
              <w:rPr>
                <w:b/>
                <w:bCs/>
              </w:rPr>
              <w:t xml:space="preserve">Freshness</w:t>
            </w:r>
          </w:p>
        </w:tc>
        <w:tc>
          <w:tcPr/>
          <w:p>
            <w:pPr>
              <w:pStyle w:val="Compact"/>
            </w:pPr>
            <w:r>
              <w:t xml:space="preserve">4.5 minutes</w:t>
            </w:r>
          </w:p>
        </w:tc>
        <w:tc>
          <w:tcPr/>
          <w:p>
            <w:pPr>
              <w:pStyle w:val="Compact"/>
            </w:pPr>
            <w:r>
              <w:t xml:space="preserve">25 minutes</w:t>
            </w:r>
          </w:p>
        </w:tc>
      </w:tr>
      <w:tr>
        <w:tc>
          <w:tcPr/>
          <w:p>
            <w:pPr>
              <w:pStyle w:val="Compact"/>
            </w:pPr>
            <w:r>
              <w:rPr>
                <w:b/>
                <w:bCs/>
              </w:rPr>
              <w:t xml:space="preserve">Poll interval</w:t>
            </w:r>
          </w:p>
        </w:tc>
        <w:tc>
          <w:tcPr/>
          <w:p>
            <w:pPr>
              <w:pStyle w:val="Compact"/>
            </w:pPr>
            <w:r>
              <w:t xml:space="preserve">60 seconds</w:t>
            </w:r>
          </w:p>
        </w:tc>
        <w:tc>
          <w:tcPr/>
          <w:p>
            <w:pPr>
              <w:pStyle w:val="Compact"/>
            </w:pPr>
            <w:r>
              <w:t xml:space="preserve">60 seconds</w:t>
            </w:r>
          </w:p>
        </w:tc>
      </w:tr>
      <w:tr>
        <w:tc>
          <w:tcPr/>
          <w:p>
            <w:pPr>
              <w:pStyle w:val="Compact"/>
            </w:pPr>
            <w:r>
              <w:rPr>
                <w:b/>
                <w:bCs/>
              </w:rPr>
              <w:t xml:space="preserve">Fields</w:t>
            </w:r>
          </w:p>
        </w:tc>
        <w:tc>
          <w:tcPr/>
          <w:p>
            <w:pPr>
              <w:pStyle w:val="Compact"/>
            </w:pPr>
            <w:r>
              <w:rPr>
                <w:rStyle w:val="VerbatimChar"/>
              </w:rPr>
              <w:t xml:space="preserve">summary[]</w:t>
            </w:r>
            <w:r>
              <w:t xml:space="preserve"> </w:t>
            </w:r>
            <w:r>
              <w:t xml:space="preserve">(price, demand, gen, interconnectorFlows)</w:t>
            </w:r>
          </w:p>
        </w:tc>
        <w:tc>
          <w:tcPr/>
          <w:p>
            <w:pPr>
              <w:pStyle w:val="Compact"/>
            </w:pPr>
            <w:r>
              <w:rPr>
                <w:rStyle w:val="VerbatimChar"/>
              </w:rPr>
              <w:t xml:space="preserve">TRADING_DAY_INTERVAL</w:t>
            </w:r>
            <w:r>
              <w:t xml:space="preserve">,</w:t>
            </w:r>
            <w:r>
              <w:t xml:space="preserve"> </w:t>
            </w:r>
            <w:r>
              <w:rPr>
                <w:rStyle w:val="VerbatimChar"/>
              </w:rPr>
              <w:t xml:space="preserve">ENERGY_PRICE</w:t>
            </w:r>
            <w:r>
              <w:t xml:space="preserve">,</w:t>
            </w:r>
            <w:r>
              <w:t xml:space="preserve"> </w:t>
            </w:r>
            <w:r>
              <w:rPr>
                <w:rStyle w:val="VerbatimChar"/>
              </w:rPr>
              <w:t xml:space="preserve">TOTAL_GEN_MW</w:t>
            </w:r>
            <w:r>
              <w:t xml:space="preserve">,</w:t>
            </w:r>
            <w:r>
              <w:t xml:space="preserve"> </w:t>
            </w:r>
            <w:r>
              <w:rPr>
                <w:rStyle w:val="VerbatimChar"/>
              </w:rPr>
              <w:t xml:space="preserve">TOTAL_DEMAND_MW</w:t>
            </w:r>
          </w:p>
        </w:tc>
      </w:tr>
    </w:tbl>
    <w:p>
      <w:pPr>
        <w:pStyle w:val="CaptionedFigure"/>
      </w:pPr>
      <w:r>
        <w:drawing>
          <wp:inline>
            <wp:extent cx="5334000" cy="3455910"/>
            <wp:effectExtent b="0" l="0" r="0" t="0"/>
            <wp:docPr descr="Dispatch Overview" title="" id="13" name="Picture"/>
            <a:graphic>
              <a:graphicData uri="http://schemas.openxmlformats.org/drawingml/2006/picture">
                <pic:pic>
                  <pic:nvPicPr>
                    <pic:cNvPr descr="screenshots/01-dispatch-overview.png" id="14" name="Picture"/>
                    <pic:cNvPicPr>
                      <a:picLocks noChangeArrowheads="1" noChangeAspect="1"/>
                    </pic:cNvPicPr>
                  </pic:nvPicPr>
                  <pic:blipFill>
                    <a:blip r:embed="rId12"/>
                    <a:stretch>
                      <a:fillRect/>
                    </a:stretch>
                  </pic:blipFill>
                  <pic:spPr bwMode="auto">
                    <a:xfrm>
                      <a:off x="0" y="0"/>
                      <a:ext cx="5334000" cy="3455910"/>
                    </a:xfrm>
                    <a:prstGeom prst="rect">
                      <a:avLst/>
                    </a:prstGeom>
                    <a:noFill/>
                    <a:ln w="9525">
                      <a:noFill/>
                      <a:headEnd/>
                      <a:tailEnd/>
                    </a:ln>
                  </pic:spPr>
                </pic:pic>
              </a:graphicData>
            </a:graphic>
          </wp:inline>
        </w:drawing>
      </w:r>
    </w:p>
    <w:p>
      <w:pPr>
        <w:pStyle w:val="ImageCaption"/>
      </w:pPr>
      <w:r>
        <w:t xml:space="preserve">Dispatch Overview</w:t>
      </w:r>
    </w:p>
    <w:p>
      <w:r>
        <w:pict>
          <v:rect style="width:0;height:1.5pt" o:hralign="center" o:hrstd="t" o:hr="t"/>
        </w:pict>
      </w:r>
    </w:p>
    <w:bookmarkEnd w:id="15"/>
    <w:bookmarkEnd w:id="16"/>
    <w:bookmarkStart w:id="25" w:name="price-and-demand"/>
    <w:p>
      <w:pPr>
        <w:pStyle w:val="Heading2"/>
      </w:pPr>
      <w:r>
        <w:t xml:space="preserve">2. Price and Demand</w:t>
      </w:r>
    </w:p>
    <w:p>
      <w:pPr>
        <w:pStyle w:val="FirstParagraph"/>
      </w:pPr>
      <w:r>
        <w:t xml:space="preserve">A dual-axis time-series chart showing spot price ($/MWh, left axis) and demand (MW, right axis) for any selected region. Supports both 5-minute and 30-minute resolution for NEM regions, while WA displays ~4 days of rolling data from the WEM pulse feed.</w:t>
      </w:r>
    </w:p>
    <w:p>
      <w:pPr>
        <w:pStyle w:val="Compact"/>
        <w:numPr>
          <w:ilvl w:val="0"/>
          <w:numId w:val="1004"/>
        </w:numPr>
      </w:pPr>
      <w:r>
        <w:rPr>
          <w:b/>
          <w:bCs/>
        </w:rPr>
        <w:t xml:space="preserve">Region selector</w:t>
      </w:r>
      <w:r>
        <w:t xml:space="preserve"> </w:t>
      </w:r>
      <w:r>
        <w:t xml:space="preserve">— click any region button to switch</w:t>
      </w:r>
    </w:p>
    <w:p>
      <w:pPr>
        <w:pStyle w:val="Compact"/>
        <w:numPr>
          <w:ilvl w:val="0"/>
          <w:numId w:val="1004"/>
        </w:numPr>
      </w:pPr>
      <w:r>
        <w:rPr>
          <w:b/>
          <w:bCs/>
        </w:rPr>
        <w:t xml:space="preserve">Timescale selector</w:t>
      </w:r>
      <w:r>
        <w:t xml:space="preserve"> </w:t>
      </w:r>
      <w:r>
        <w:t xml:space="preserve">— toggle between 5MIN and 30MIN (NEM only)</w:t>
      </w:r>
    </w:p>
    <w:p>
      <w:pPr>
        <w:pStyle w:val="Compact"/>
        <w:numPr>
          <w:ilvl w:val="0"/>
          <w:numId w:val="1004"/>
        </w:numPr>
      </w:pPr>
      <w:r>
        <w:rPr>
          <w:b/>
          <w:bCs/>
        </w:rPr>
        <w:t xml:space="preserve">Forecast overlay</w:t>
      </w:r>
      <w:r>
        <w:t xml:space="preserve"> </w:t>
      </w:r>
      <w:r>
        <w:t xml:space="preserve">— dashed lines show pre-dispatch forecast where available</w:t>
      </w:r>
    </w:p>
    <w:p>
      <w:pPr>
        <w:pStyle w:val="Compact"/>
        <w:numPr>
          <w:ilvl w:val="0"/>
          <w:numId w:val="1004"/>
        </w:numPr>
      </w:pPr>
      <w:r>
        <w:rPr>
          <w:b/>
          <w:bCs/>
        </w:rPr>
        <w:t xml:space="preserve">APC marker</w:t>
      </w:r>
      <w:r>
        <w:t xml:space="preserve"> </w:t>
      </w:r>
      <w:r>
        <w:t xml:space="preserve">— dotted line at the Administered Price Cap threshold (NEM only)</w:t>
      </w:r>
    </w:p>
    <w:p>
      <w:pPr>
        <w:pStyle w:val="Compact"/>
        <w:numPr>
          <w:ilvl w:val="0"/>
          <w:numId w:val="1004"/>
        </w:numPr>
      </w:pPr>
      <w:r>
        <w:rPr>
          <w:b/>
          <w:bCs/>
        </w:rPr>
        <w:t xml:space="preserve">KPI row</w:t>
      </w:r>
      <w:r>
        <w:t xml:space="preserve"> </w:t>
      </w:r>
      <w:r>
        <w:t xml:space="preserve">— current price, demand, forecast values, and APC status</w:t>
      </w:r>
    </w:p>
    <w:bookmarkStart w:id="17" w:name="compare-mode"/>
    <w:p>
      <w:pPr>
        <w:pStyle w:val="Heading3"/>
      </w:pPr>
      <w:r>
        <w:t xml:space="preserve">Compare Mode</w:t>
      </w:r>
    </w:p>
    <w:p>
      <w:pPr>
        <w:pStyle w:val="FirstParagraph"/>
      </w:pPr>
      <w:r>
        <w:t xml:space="preserve">Click</w:t>
      </w:r>
      <w:r>
        <w:t xml:space="preserve"> </w:t>
      </w:r>
      <w:r>
        <w:rPr>
          <w:b/>
          <w:bCs/>
        </w:rPr>
        <w:t xml:space="preserve">Compare</w:t>
      </w:r>
      <w:r>
        <w:t xml:space="preserve"> </w:t>
      </w:r>
      <w:r>
        <w:t xml:space="preserve">to overlay multiple regions on the same chart. Each region gets a distinct colour. Price lines are solid, demand lines are dashed. Forecast data appears as dotted lines. The APC marker is shown when at least one NEM region is selected.</w:t>
      </w:r>
    </w:p>
    <w:bookmarkEnd w:id="17"/>
    <w:bookmarkStart w:id="24" w:name="data-source-1"/>
    <w:p>
      <w:pPr>
        <w:pStyle w:val="Heading3"/>
      </w:pPr>
      <w:r>
        <w:t xml:space="preserve">Data Source</w:t>
      </w:r>
    </w:p>
    <w:tbl>
      <w:tblPr>
        <w:tblStyle w:val="Table"/>
        <w:tblW w:type="pct" w:w="5000"/>
        <w:tblLayout w:type="fixed"/>
        <w:tblLook w:firstRow="1" w:lastRow="0" w:firstColumn="0" w:lastColumn="0" w:noHBand="0" w:noVBand="0" w:val="0020"/>
      </w:tblPr>
      <w:tblGrid>
        <w:gridCol w:w="3520"/>
        <w:gridCol w:w="2200"/>
        <w:gridCol w:w="2200"/>
      </w:tblGrid>
      <w:tr>
        <w:trPr>
          <w:tblHeader w:val="on"/>
        </w:trPr>
        <w:tc>
          <w:tcPr/>
          <w:p>
            <w:pPr>
              <w:pStyle w:val="Compact"/>
            </w:pPr>
            <w:r>
              <w:t xml:space="preserve">Aspect</w:t>
            </w:r>
          </w:p>
        </w:tc>
        <w:tc>
          <w:tcPr/>
          <w:p>
            <w:pPr>
              <w:pStyle w:val="Compact"/>
            </w:pPr>
            <w:r>
              <w:t xml:space="preserve">NEM</w:t>
            </w:r>
          </w:p>
        </w:tc>
        <w:tc>
          <w:tcPr/>
          <w:p>
            <w:pPr>
              <w:pStyle w:val="Compact"/>
            </w:pPr>
            <w:r>
              <w:t xml:space="preserve">WEM</w:t>
            </w:r>
          </w:p>
        </w:tc>
      </w:tr>
      <w:tr>
        <w:tc>
          <w:tcPr/>
          <w:p>
            <w:pPr>
              <w:pStyle w:val="Compact"/>
            </w:pPr>
            <w:r>
              <w:rPr>
                <w:b/>
                <w:bCs/>
              </w:rPr>
              <w:t xml:space="preserve">Endpoint</w:t>
            </w:r>
          </w:p>
        </w:tc>
        <w:tc>
          <w:tcPr/>
          <w:p>
            <w:pPr>
              <w:pStyle w:val="Compact"/>
            </w:pPr>
            <w:r>
              <w:rPr>
                <w:rStyle w:val="VerbatimChar"/>
              </w:rPr>
              <w:t xml:space="preserve">/NEM/v1/PWS/NEMDashboard/priceAndDemand?timescale={5MIN|30MIN}</w:t>
            </w:r>
          </w:p>
        </w:tc>
        <w:tc>
          <w:tcPr/>
          <w:p>
            <w:pPr>
              <w:pStyle w:val="Compact"/>
            </w:pPr>
            <w:r>
              <w:rPr>
                <w:rStyle w:val="VerbatimChar"/>
              </w:rPr>
              <w:t xml:space="preserve">pulse.csv</w:t>
            </w:r>
          </w:p>
        </w:tc>
      </w:tr>
      <w:tr>
        <w:tc>
          <w:tcPr/>
          <w:p>
            <w:pPr>
              <w:pStyle w:val="Compact"/>
            </w:pPr>
            <w:r>
              <w:rPr>
                <w:b/>
                <w:bCs/>
              </w:rPr>
              <w:t xml:space="preserve">Freshness</w:t>
            </w:r>
          </w:p>
        </w:tc>
        <w:tc>
          <w:tcPr/>
          <w:p>
            <w:pPr>
              <w:pStyle w:val="Compact"/>
            </w:pPr>
            <w:r>
              <w:t xml:space="preserve">4.5 minutes</w:t>
            </w:r>
          </w:p>
        </w:tc>
        <w:tc>
          <w:tcPr/>
          <w:p>
            <w:pPr>
              <w:pStyle w:val="Compact"/>
            </w:pPr>
            <w:r>
              <w:t xml:space="preserve">25 minutes</w:t>
            </w:r>
          </w:p>
        </w:tc>
      </w:tr>
      <w:tr>
        <w:tc>
          <w:tcPr/>
          <w:p>
            <w:pPr>
              <w:pStyle w:val="Compact"/>
            </w:pPr>
            <w:r>
              <w:rPr>
                <w:b/>
                <w:bCs/>
              </w:rPr>
              <w:t xml:space="preserve">Time range</w:t>
            </w:r>
          </w:p>
        </w:tc>
        <w:tc>
          <w:tcPr/>
          <w:p>
            <w:pPr>
              <w:pStyle w:val="Compact"/>
            </w:pPr>
            <w:r>
              <w:t xml:space="preserve">~2 days actuals + forecast</w:t>
            </w:r>
          </w:p>
        </w:tc>
        <w:tc>
          <w:tcPr/>
          <w:p>
            <w:pPr>
              <w:pStyle w:val="Compact"/>
            </w:pPr>
            <w:r>
              <w:t xml:space="preserve">~4 days rolling</w:t>
            </w:r>
          </w:p>
        </w:tc>
      </w:tr>
      <w:tr>
        <w:tc>
          <w:tcPr/>
          <w:p>
            <w:pPr>
              <w:pStyle w:val="Compact"/>
            </w:pPr>
            <w:r>
              <w:rPr>
                <w:b/>
                <w:bCs/>
              </w:rPr>
              <w:t xml:space="preserve">Fields</w:t>
            </w:r>
          </w:p>
        </w:tc>
        <w:tc>
          <w:tcPr/>
          <w:p>
            <w:pPr>
              <w:pStyle w:val="Compact"/>
            </w:pPr>
            <w:r>
              <w:rPr>
                <w:rStyle w:val="VerbatimChar"/>
              </w:rPr>
              <w:t xml:space="preserve">rrp</w:t>
            </w:r>
            <w:r>
              <w:t xml:space="preserve">,</w:t>
            </w:r>
            <w:r>
              <w:t xml:space="preserve"> </w:t>
            </w:r>
            <w:r>
              <w:rPr>
                <w:rStyle w:val="VerbatimChar"/>
              </w:rPr>
              <w:t xml:space="preserve">totalDemand</w:t>
            </w:r>
            <w:r>
              <w:t xml:space="preserve">,</w:t>
            </w:r>
            <w:r>
              <w:t xml:space="preserve"> </w:t>
            </w:r>
            <w:r>
              <w:rPr>
                <w:rStyle w:val="VerbatimChar"/>
              </w:rPr>
              <w:t xml:space="preserve">forecastedRrp</w:t>
            </w:r>
            <w:r>
              <w:t xml:space="preserve">,</w:t>
            </w:r>
            <w:r>
              <w:t xml:space="preserve"> </w:t>
            </w:r>
            <w:r>
              <w:rPr>
                <w:rStyle w:val="VerbatimChar"/>
              </w:rPr>
              <w:t xml:space="preserve">forecastedDemand</w:t>
            </w:r>
          </w:p>
        </w:tc>
        <w:tc>
          <w:tcPr/>
          <w:p>
            <w:pPr>
              <w:pStyle w:val="Compact"/>
            </w:pPr>
            <w:r>
              <w:rPr>
                <w:rStyle w:val="VerbatimChar"/>
              </w:rPr>
              <w:t xml:space="preserve">ENERGY_PRICE</w:t>
            </w:r>
            <w:r>
              <w:t xml:space="preserve">,</w:t>
            </w:r>
            <w:r>
              <w:t xml:space="preserve"> </w:t>
            </w:r>
            <w:r>
              <w:rPr>
                <w:rStyle w:val="VerbatimChar"/>
              </w:rPr>
              <w:t xml:space="preserve">TOTAL_DEMAND_MW</w:t>
            </w:r>
          </w:p>
        </w:tc>
      </w:tr>
    </w:tbl>
    <w:p>
      <w:pPr>
        <w:pStyle w:val="CaptionedFigure"/>
      </w:pPr>
      <w:r>
        <w:drawing>
          <wp:inline>
            <wp:extent cx="5334000" cy="3578941"/>
            <wp:effectExtent b="0" l="0" r="0" t="0"/>
            <wp:docPr descr="Price and Demand — Single Region" title="" id="19" name="Picture"/>
            <a:graphic>
              <a:graphicData uri="http://schemas.openxmlformats.org/drawingml/2006/picture">
                <pic:pic>
                  <pic:nvPicPr>
                    <pic:cNvPr descr="screenshots/02-price-demand.png" id="20" name="Picture"/>
                    <pic:cNvPicPr>
                      <a:picLocks noChangeArrowheads="1" noChangeAspect="1"/>
                    </pic:cNvPicPr>
                  </pic:nvPicPr>
                  <pic:blipFill>
                    <a:blip r:embed="rId18"/>
                    <a:stretch>
                      <a:fillRect/>
                    </a:stretch>
                  </pic:blipFill>
                  <pic:spPr bwMode="auto">
                    <a:xfrm>
                      <a:off x="0" y="0"/>
                      <a:ext cx="5334000" cy="3578941"/>
                    </a:xfrm>
                    <a:prstGeom prst="rect">
                      <a:avLst/>
                    </a:prstGeom>
                    <a:noFill/>
                    <a:ln w="9525">
                      <a:noFill/>
                      <a:headEnd/>
                      <a:tailEnd/>
                    </a:ln>
                  </pic:spPr>
                </pic:pic>
              </a:graphicData>
            </a:graphic>
          </wp:inline>
        </w:drawing>
      </w:r>
    </w:p>
    <w:p>
      <w:pPr>
        <w:pStyle w:val="ImageCaption"/>
      </w:pPr>
      <w:r>
        <w:t xml:space="preserve">Price and Demand — Single Region</w:t>
      </w:r>
    </w:p>
    <w:p>
      <w:pPr>
        <w:pStyle w:val="CaptionedFigure"/>
      </w:pPr>
      <w:r>
        <w:drawing>
          <wp:inline>
            <wp:extent cx="5334000" cy="3455910"/>
            <wp:effectExtent b="0" l="0" r="0" t="0"/>
            <wp:docPr descr="Price and Demand — Compare Mode (NSW vs QLD)" title="" id="22" name="Picture"/>
            <a:graphic>
              <a:graphicData uri="http://schemas.openxmlformats.org/drawingml/2006/picture">
                <pic:pic>
                  <pic:nvPicPr>
                    <pic:cNvPr descr="screenshots/02b-price-demand-compare.png" id="23" name="Picture"/>
                    <pic:cNvPicPr>
                      <a:picLocks noChangeArrowheads="1" noChangeAspect="1"/>
                    </pic:cNvPicPr>
                  </pic:nvPicPr>
                  <pic:blipFill>
                    <a:blip r:embed="rId21"/>
                    <a:stretch>
                      <a:fillRect/>
                    </a:stretch>
                  </pic:blipFill>
                  <pic:spPr bwMode="auto">
                    <a:xfrm>
                      <a:off x="0" y="0"/>
                      <a:ext cx="5334000" cy="3455910"/>
                    </a:xfrm>
                    <a:prstGeom prst="rect">
                      <a:avLst/>
                    </a:prstGeom>
                    <a:noFill/>
                    <a:ln w="9525">
                      <a:noFill/>
                      <a:headEnd/>
                      <a:tailEnd/>
                    </a:ln>
                  </pic:spPr>
                </pic:pic>
              </a:graphicData>
            </a:graphic>
          </wp:inline>
        </w:drawing>
      </w:r>
    </w:p>
    <w:p>
      <w:pPr>
        <w:pStyle w:val="ImageCaption"/>
      </w:pPr>
      <w:r>
        <w:t xml:space="preserve">Price and Demand — Compare Mode (NSW vs QLD)</w:t>
      </w:r>
    </w:p>
    <w:p>
      <w:r>
        <w:pict>
          <v:rect style="width:0;height:1.5pt" o:hralign="center" o:hrstd="t" o:hr="t"/>
        </w:pict>
      </w:r>
    </w:p>
    <w:bookmarkEnd w:id="24"/>
    <w:bookmarkEnd w:id="25"/>
    <w:bookmarkStart w:id="30" w:name="cumulative-price"/>
    <w:p>
      <w:pPr>
        <w:pStyle w:val="Heading2"/>
      </w:pPr>
      <w:r>
        <w:t xml:space="preserve">3. Cumulative Price</w:t>
      </w:r>
    </w:p>
    <w:p>
      <w:pPr>
        <w:pStyle w:val="FirstParagraph"/>
      </w:pPr>
      <w:r>
        <w:t xml:space="preserve">Tracks the running cumulative price sum across the trading day for each NEM region. This is critical for monitoring proximity to the</w:t>
      </w:r>
      <w:r>
        <w:t xml:space="preserve"> </w:t>
      </w:r>
      <w:r>
        <w:rPr>
          <w:b/>
          <w:bCs/>
        </w:rPr>
        <w:t xml:space="preserve">Cumulative Price Threshold (CPT)</w:t>
      </w:r>
      <w:r>
        <w:t xml:space="preserve">, which triggers Administered Pricing if breached. The chart shows how each region’s cumulative price evolves in real time.</w:t>
      </w:r>
    </w:p>
    <w:p>
      <w:pPr>
        <w:pStyle w:val="Compact"/>
        <w:numPr>
          <w:ilvl w:val="0"/>
          <w:numId w:val="1005"/>
        </w:numPr>
      </w:pPr>
      <w:r>
        <w:rPr>
          <w:b/>
          <w:bCs/>
        </w:rPr>
        <w:t xml:space="preserve">Per-region cumulative totals</w:t>
      </w:r>
      <w:r>
        <w:t xml:space="preserve"> </w:t>
      </w:r>
      <w:r>
        <w:t xml:space="preserve">updated every dispatch interval</w:t>
      </w:r>
    </w:p>
    <w:p>
      <w:pPr>
        <w:pStyle w:val="Compact"/>
        <w:numPr>
          <w:ilvl w:val="0"/>
          <w:numId w:val="1005"/>
        </w:numPr>
      </w:pPr>
      <w:r>
        <w:rPr>
          <w:b/>
          <w:bCs/>
        </w:rPr>
        <w:t xml:space="preserve">CPT threshold line</w:t>
      </w:r>
      <w:r>
        <w:t xml:space="preserve"> </w:t>
      </w:r>
      <w:r>
        <w:t xml:space="preserve">marks the trigger level</w:t>
      </w:r>
    </w:p>
    <w:p>
      <w:pPr>
        <w:pStyle w:val="Compact"/>
        <w:numPr>
          <w:ilvl w:val="0"/>
          <w:numId w:val="1005"/>
        </w:numPr>
      </w:pPr>
      <w:r>
        <w:t xml:space="preserve">WA is not applicable (WEM has a different pricing mechanism)</w:t>
      </w:r>
    </w:p>
    <w:bookmarkStart w:id="29" w:name="data-source-2"/>
    <w:p>
      <w:pPr>
        <w:pStyle w:val="Heading3"/>
      </w:pPr>
      <w:r>
        <w:t xml:space="preserve">Data Source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Value</w:t>
            </w:r>
          </w:p>
        </w:tc>
      </w:tr>
      <w:tr>
        <w:tc>
          <w:tcPr/>
          <w:p>
            <w:pPr>
              <w:pStyle w:val="Compact"/>
            </w:pPr>
            <w:r>
              <w:rPr>
                <w:b/>
                <w:bCs/>
              </w:rPr>
              <w:t xml:space="preserve">Endpoint</w:t>
            </w:r>
          </w:p>
        </w:tc>
        <w:tc>
          <w:tcPr/>
          <w:p>
            <w:pPr>
              <w:pStyle w:val="Compact"/>
            </w:pPr>
            <w:r>
              <w:rPr>
                <w:rStyle w:val="VerbatimChar"/>
              </w:rPr>
              <w:t xml:space="preserve">/NEM/v1/PWS/NEMDashboard/cumulativePrice</w:t>
            </w:r>
          </w:p>
        </w:tc>
      </w:tr>
      <w:tr>
        <w:tc>
          <w:tcPr/>
          <w:p>
            <w:pPr>
              <w:pStyle w:val="Compact"/>
            </w:pPr>
            <w:r>
              <w:rPr>
                <w:b/>
                <w:bCs/>
              </w:rPr>
              <w:t xml:space="preserve">Freshness</w:t>
            </w:r>
          </w:p>
        </w:tc>
        <w:tc>
          <w:tcPr/>
          <w:p>
            <w:pPr>
              <w:pStyle w:val="Compact"/>
            </w:pPr>
            <w:r>
              <w:t xml:space="preserve">4.5 minutes</w:t>
            </w:r>
          </w:p>
        </w:tc>
      </w:tr>
      <w:tr>
        <w:tc>
          <w:tcPr/>
          <w:p>
            <w:pPr>
              <w:pStyle w:val="Compact"/>
            </w:pPr>
            <w:r>
              <w:rPr>
                <w:b/>
                <w:bCs/>
              </w:rPr>
              <w:t xml:space="preserve">Market</w:t>
            </w:r>
          </w:p>
        </w:tc>
        <w:tc>
          <w:tcPr/>
          <w:p>
            <w:pPr>
              <w:pStyle w:val="Compact"/>
            </w:pPr>
            <w:r>
              <w:t xml:space="preserve">NEM only</w:t>
            </w:r>
          </w:p>
        </w:tc>
      </w:tr>
      <w:tr>
        <w:tc>
          <w:tcPr/>
          <w:p>
            <w:pPr>
              <w:pStyle w:val="Compact"/>
            </w:pPr>
            <w:r>
              <w:rPr>
                <w:b/>
                <w:bCs/>
              </w:rPr>
              <w:t xml:space="preserve">Fields</w:t>
            </w:r>
          </w:p>
        </w:tc>
        <w:tc>
          <w:tcPr/>
          <w:p>
            <w:pPr>
              <w:pStyle w:val="Compact"/>
            </w:pPr>
            <w:r>
              <w:rPr>
                <w:rStyle w:val="VerbatimChar"/>
              </w:rPr>
              <w:t xml:space="preserve">cumulativePrice</w:t>
            </w:r>
            <w:r>
              <w:t xml:space="preserve"> </w:t>
            </w:r>
            <w:r>
              <w:t xml:space="preserve">per region,</w:t>
            </w:r>
            <w:r>
              <w:t xml:space="preserve"> </w:t>
            </w:r>
            <w:r>
              <w:rPr>
                <w:rStyle w:val="VerbatimChar"/>
              </w:rPr>
              <w:t xml:space="preserve">cpt</w:t>
            </w:r>
            <w:r>
              <w:t xml:space="preserve"> </w:t>
            </w:r>
            <w:r>
              <w:t xml:space="preserve">threshold</w:t>
            </w:r>
          </w:p>
        </w:tc>
      </w:tr>
    </w:tbl>
    <w:p>
      <w:pPr>
        <w:pStyle w:val="CaptionedFigure"/>
      </w:pPr>
      <w:r>
        <w:drawing>
          <wp:inline>
            <wp:extent cx="5334000" cy="3455910"/>
            <wp:effectExtent b="0" l="0" r="0" t="0"/>
            <wp:docPr descr="Cumulative Price" title="" id="27" name="Picture"/>
            <a:graphic>
              <a:graphicData uri="http://schemas.openxmlformats.org/drawingml/2006/picture">
                <pic:pic>
                  <pic:nvPicPr>
                    <pic:cNvPr descr="screenshots/03-cumulative-price.png" id="28" name="Picture"/>
                    <pic:cNvPicPr>
                      <a:picLocks noChangeArrowheads="1" noChangeAspect="1"/>
                    </pic:cNvPicPr>
                  </pic:nvPicPr>
                  <pic:blipFill>
                    <a:blip r:embed="rId26"/>
                    <a:stretch>
                      <a:fillRect/>
                    </a:stretch>
                  </pic:blipFill>
                  <pic:spPr bwMode="auto">
                    <a:xfrm>
                      <a:off x="0" y="0"/>
                      <a:ext cx="5334000" cy="3455910"/>
                    </a:xfrm>
                    <a:prstGeom prst="rect">
                      <a:avLst/>
                    </a:prstGeom>
                    <a:noFill/>
                    <a:ln w="9525">
                      <a:noFill/>
                      <a:headEnd/>
                      <a:tailEnd/>
                    </a:ln>
                  </pic:spPr>
                </pic:pic>
              </a:graphicData>
            </a:graphic>
          </wp:inline>
        </w:drawing>
      </w:r>
    </w:p>
    <w:p>
      <w:pPr>
        <w:pStyle w:val="ImageCaption"/>
      </w:pPr>
      <w:r>
        <w:t xml:space="preserve">Cumulative Price</w:t>
      </w:r>
    </w:p>
    <w:p>
      <w:r>
        <w:pict>
          <v:rect style="width:0;height:1.5pt" o:hralign="center" o:hrstd="t" o:hr="t"/>
        </w:pict>
      </w:r>
    </w:p>
    <w:bookmarkEnd w:id="29"/>
    <w:bookmarkEnd w:id="30"/>
    <w:bookmarkStart w:id="39" w:name="fuel-mix"/>
    <w:p>
      <w:pPr>
        <w:pStyle w:val="Heading2"/>
      </w:pPr>
      <w:r>
        <w:t xml:space="preserve">4. Fuel Mix</w:t>
      </w:r>
    </w:p>
    <w:p>
      <w:pPr>
        <w:pStyle w:val="FirstParagraph"/>
      </w:pPr>
      <w:r>
        <w:t xml:space="preserve">A donut chart breaking down current generation by fuel type for the selected region. Fuel types are colour-coded consistently (black coal = dark, wind = teal, solar = gold, gas = orange, hydro = blue, etc.) and ordered by the standard AEMO fuel hierarchy.</w:t>
      </w:r>
    </w:p>
    <w:p>
      <w:pPr>
        <w:pStyle w:val="Compact"/>
        <w:numPr>
          <w:ilvl w:val="0"/>
          <w:numId w:val="1006"/>
        </w:numPr>
      </w:pPr>
      <w:r>
        <w:rPr>
          <w:b/>
          <w:bCs/>
        </w:rPr>
        <w:t xml:space="preserve">Region selector</w:t>
      </w:r>
      <w:r>
        <w:t xml:space="preserve"> </w:t>
      </w:r>
      <w:r>
        <w:t xml:space="preserve">— individual NEM regions, WA, or NEM aggregate</w:t>
      </w:r>
    </w:p>
    <w:p>
      <w:pPr>
        <w:pStyle w:val="Compact"/>
        <w:numPr>
          <w:ilvl w:val="0"/>
          <w:numId w:val="1006"/>
        </w:numPr>
      </w:pPr>
      <w:r>
        <w:rPr>
          <w:b/>
          <w:bCs/>
        </w:rPr>
        <w:t xml:space="preserve">Total MW</w:t>
      </w:r>
      <w:r>
        <w:t xml:space="preserve"> </w:t>
      </w:r>
      <w:r>
        <w:t xml:space="preserve">displayed in the chart centre</w:t>
      </w:r>
    </w:p>
    <w:p>
      <w:pPr>
        <w:pStyle w:val="Compact"/>
        <w:numPr>
          <w:ilvl w:val="0"/>
          <w:numId w:val="1006"/>
        </w:numPr>
      </w:pPr>
      <w:r>
        <w:rPr>
          <w:b/>
          <w:bCs/>
        </w:rPr>
        <w:t xml:space="preserve">Legend</w:t>
      </w:r>
      <w:r>
        <w:t xml:space="preserve"> </w:t>
      </w:r>
      <w:r>
        <w:t xml:space="preserve">with percentage breakdown</w:t>
      </w:r>
    </w:p>
    <w:p>
      <w:pPr>
        <w:pStyle w:val="Compact"/>
        <w:numPr>
          <w:ilvl w:val="0"/>
          <w:numId w:val="1006"/>
        </w:numPr>
      </w:pPr>
      <w:r>
        <w:t xml:space="preserve">WA fuel mix is derived by joining WEM generation data with facility metadata</w:t>
      </w:r>
    </w:p>
    <w:bookmarkStart w:id="31" w:name="compare-mode-1"/>
    <w:p>
      <w:pPr>
        <w:pStyle w:val="Heading3"/>
      </w:pPr>
      <w:r>
        <w:t xml:space="preserve">Compare Mode</w:t>
      </w:r>
    </w:p>
    <w:p>
      <w:pPr>
        <w:pStyle w:val="FirstParagraph"/>
      </w:pPr>
      <w:r>
        <w:t xml:space="preserve">Click</w:t>
      </w:r>
      <w:r>
        <w:t xml:space="preserve"> </w:t>
      </w:r>
      <w:r>
        <w:rPr>
          <w:b/>
          <w:bCs/>
        </w:rPr>
        <w:t xml:space="preserve">Compare</w:t>
      </w:r>
      <w:r>
        <w:t xml:space="preserve"> </w:t>
      </w:r>
      <w:r>
        <w:t xml:space="preserve">to see side-by-side pie charts for multiple regions. Pies are evenly distributed across the width and auto-size — radius shrinks gracefully as more regions are added.</w:t>
      </w:r>
    </w:p>
    <w:bookmarkEnd w:id="31"/>
    <w:bookmarkStart w:id="38" w:name="data-source-3"/>
    <w:p>
      <w:pPr>
        <w:pStyle w:val="Heading3"/>
      </w:pPr>
      <w:r>
        <w:t xml:space="preserve">Data Source</w:t>
      </w:r>
    </w:p>
    <w:tbl>
      <w:tblPr>
        <w:tblStyle w:val="Table"/>
        <w:tblW w:type="pct" w:w="5000"/>
        <w:tblLayout w:type="fixed"/>
        <w:tblLook w:firstRow="1" w:lastRow="0" w:firstColumn="0" w:lastColumn="0" w:noHBand="0" w:noVBand="0" w:val="0020"/>
      </w:tblPr>
      <w:tblGrid>
        <w:gridCol w:w="3520"/>
        <w:gridCol w:w="2200"/>
        <w:gridCol w:w="2200"/>
      </w:tblGrid>
      <w:tr>
        <w:trPr>
          <w:tblHeader w:val="on"/>
        </w:trPr>
        <w:tc>
          <w:tcPr/>
          <w:p>
            <w:pPr>
              <w:pStyle w:val="Compact"/>
            </w:pPr>
            <w:r>
              <w:t xml:space="preserve">Aspect</w:t>
            </w:r>
          </w:p>
        </w:tc>
        <w:tc>
          <w:tcPr/>
          <w:p>
            <w:pPr>
              <w:pStyle w:val="Compact"/>
            </w:pPr>
            <w:r>
              <w:t xml:space="preserve">NEM</w:t>
            </w:r>
          </w:p>
        </w:tc>
        <w:tc>
          <w:tcPr/>
          <w:p>
            <w:pPr>
              <w:pStyle w:val="Compact"/>
            </w:pPr>
            <w:r>
              <w:t xml:space="preserve">WEM</w:t>
            </w:r>
          </w:p>
        </w:tc>
      </w:tr>
      <w:tr>
        <w:tc>
          <w:tcPr/>
          <w:p>
            <w:pPr>
              <w:pStyle w:val="Compact"/>
            </w:pPr>
            <w:r>
              <w:rPr>
                <w:b/>
                <w:bCs/>
              </w:rPr>
              <w:t xml:space="preserve">Endpoint</w:t>
            </w:r>
          </w:p>
        </w:tc>
        <w:tc>
          <w:tcPr/>
          <w:p>
            <w:pPr>
              <w:pStyle w:val="Compact"/>
            </w:pPr>
            <w:r>
              <w:rPr>
                <w:rStyle w:val="VerbatimChar"/>
              </w:rPr>
              <w:t xml:space="preserve">/NEM/v1/PWS/NEMDashboard/fuelMix?type=CURRENT</w:t>
            </w:r>
          </w:p>
        </w:tc>
        <w:tc>
          <w:tcPr/>
          <w:p>
            <w:pPr>
              <w:pStyle w:val="Compact"/>
            </w:pPr>
            <w:r>
              <w:rPr>
                <w:rStyle w:val="VerbatimChar"/>
              </w:rPr>
              <w:t xml:space="preserve">generation.csv</w:t>
            </w:r>
            <w:r>
              <w:t xml:space="preserve"> </w:t>
            </w:r>
            <w:r>
              <w:t xml:space="preserve">+</w:t>
            </w:r>
            <w:r>
              <w:t xml:space="preserve"> </w:t>
            </w:r>
            <w:r>
              <w:rPr>
                <w:rStyle w:val="VerbatimChar"/>
              </w:rPr>
              <w:t xml:space="preserve">facility-meta-fuelmix.csv</w:t>
            </w:r>
          </w:p>
        </w:tc>
      </w:tr>
      <w:tr>
        <w:tc>
          <w:tcPr/>
          <w:p>
            <w:pPr>
              <w:pStyle w:val="Compact"/>
            </w:pPr>
            <w:r>
              <w:rPr>
                <w:b/>
                <w:bCs/>
              </w:rPr>
              <w:t xml:space="preserve">Freshness</w:t>
            </w:r>
          </w:p>
        </w:tc>
        <w:tc>
          <w:tcPr/>
          <w:p>
            <w:pPr>
              <w:pStyle w:val="Compact"/>
            </w:pPr>
            <w:r>
              <w:t xml:space="preserve">4.5 minutes</w:t>
            </w:r>
          </w:p>
        </w:tc>
        <w:tc>
          <w:tcPr/>
          <w:p>
            <w:pPr>
              <w:pStyle w:val="Compact"/>
            </w:pPr>
            <w:r>
              <w:t xml:space="preserve">55 minutes</w:t>
            </w:r>
          </w:p>
        </w:tc>
      </w:tr>
      <w:tr>
        <w:tc>
          <w:tcPr/>
          <w:p>
            <w:pPr>
              <w:pStyle w:val="Compact"/>
            </w:pPr>
            <w:r>
              <w:rPr>
                <w:b/>
                <w:bCs/>
              </w:rPr>
              <w:t xml:space="preserve">Fields</w:t>
            </w:r>
          </w:p>
        </w:tc>
        <w:tc>
          <w:tcPr/>
          <w:p>
            <w:pPr>
              <w:pStyle w:val="Compact"/>
            </w:pPr>
            <w:r>
              <w:rPr>
                <w:rStyle w:val="VerbatimChar"/>
              </w:rPr>
              <w:t xml:space="preserve">fuelType</w:t>
            </w:r>
            <w:r>
              <w:t xml:space="preserve">,</w:t>
            </w:r>
            <w:r>
              <w:t xml:space="preserve"> </w:t>
            </w:r>
            <w:r>
              <w:rPr>
                <w:rStyle w:val="VerbatimChar"/>
              </w:rPr>
              <w:t xml:space="preserve">generationMW</w:t>
            </w:r>
          </w:p>
        </w:tc>
        <w:tc>
          <w:tcPr/>
          <w:p>
            <w:pPr>
              <w:pStyle w:val="Compact"/>
            </w:pPr>
            <w:r>
              <w:t xml:space="preserve">Joined via</w:t>
            </w:r>
            <w:r>
              <w:t xml:space="preserve"> </w:t>
            </w:r>
            <w:r>
              <w:rPr>
                <w:rStyle w:val="VerbatimChar"/>
              </w:rPr>
              <w:t xml:space="preserve">FACILITY_CODE</w:t>
            </w:r>
            <w:r>
              <w:t xml:space="preserve"> </w:t>
            </w:r>
            <w:r>
              <w:t xml:space="preserve">to get</w:t>
            </w:r>
            <w:r>
              <w:t xml:space="preserve"> </w:t>
            </w:r>
            <w:r>
              <w:rPr>
                <w:rStyle w:val="VerbatimChar"/>
              </w:rPr>
              <w:t xml:space="preserve">PRIMARY_FUEL</w:t>
            </w:r>
          </w:p>
        </w:tc>
      </w:tr>
    </w:tbl>
    <w:p>
      <w:pPr>
        <w:pStyle w:val="CaptionedFigure"/>
      </w:pPr>
      <w:r>
        <w:drawing>
          <wp:inline>
            <wp:extent cx="5334000" cy="3455910"/>
            <wp:effectExtent b="0" l="0" r="0" t="0"/>
            <wp:docPr descr="Fuel Mix — NEM Aggregate" title="" id="33" name="Picture"/>
            <a:graphic>
              <a:graphicData uri="http://schemas.openxmlformats.org/drawingml/2006/picture">
                <pic:pic>
                  <pic:nvPicPr>
                    <pic:cNvPr descr="screenshots/04-fuel-mix.png" id="34" name="Picture"/>
                    <pic:cNvPicPr>
                      <a:picLocks noChangeArrowheads="1" noChangeAspect="1"/>
                    </pic:cNvPicPr>
                  </pic:nvPicPr>
                  <pic:blipFill>
                    <a:blip r:embed="rId32"/>
                    <a:stretch>
                      <a:fillRect/>
                    </a:stretch>
                  </pic:blipFill>
                  <pic:spPr bwMode="auto">
                    <a:xfrm>
                      <a:off x="0" y="0"/>
                      <a:ext cx="5334000" cy="3455910"/>
                    </a:xfrm>
                    <a:prstGeom prst="rect">
                      <a:avLst/>
                    </a:prstGeom>
                    <a:noFill/>
                    <a:ln w="9525">
                      <a:noFill/>
                      <a:headEnd/>
                      <a:tailEnd/>
                    </a:ln>
                  </pic:spPr>
                </pic:pic>
              </a:graphicData>
            </a:graphic>
          </wp:inline>
        </w:drawing>
      </w:r>
    </w:p>
    <w:p>
      <w:pPr>
        <w:pStyle w:val="ImageCaption"/>
      </w:pPr>
      <w:r>
        <w:t xml:space="preserve">Fuel Mix — NEM Aggregate</w:t>
      </w:r>
    </w:p>
    <w:p>
      <w:pPr>
        <w:pStyle w:val="CaptionedFigure"/>
      </w:pPr>
      <w:r>
        <w:drawing>
          <wp:inline>
            <wp:extent cx="5334000" cy="3455910"/>
            <wp:effectExtent b="0" l="0" r="0" t="0"/>
            <wp:docPr descr="Fuel Mix — Compare Mode (NEM vs NSW)" title="" id="36" name="Picture"/>
            <a:graphic>
              <a:graphicData uri="http://schemas.openxmlformats.org/drawingml/2006/picture">
                <pic:pic>
                  <pic:nvPicPr>
                    <pic:cNvPr descr="screenshots/04b-fuel-mix-compare.png" id="37" name="Picture"/>
                    <pic:cNvPicPr>
                      <a:picLocks noChangeArrowheads="1" noChangeAspect="1"/>
                    </pic:cNvPicPr>
                  </pic:nvPicPr>
                  <pic:blipFill>
                    <a:blip r:embed="rId35"/>
                    <a:stretch>
                      <a:fillRect/>
                    </a:stretch>
                  </pic:blipFill>
                  <pic:spPr bwMode="auto">
                    <a:xfrm>
                      <a:off x="0" y="0"/>
                      <a:ext cx="5334000" cy="3455910"/>
                    </a:xfrm>
                    <a:prstGeom prst="rect">
                      <a:avLst/>
                    </a:prstGeom>
                    <a:noFill/>
                    <a:ln w="9525">
                      <a:noFill/>
                      <a:headEnd/>
                      <a:tailEnd/>
                    </a:ln>
                  </pic:spPr>
                </pic:pic>
              </a:graphicData>
            </a:graphic>
          </wp:inline>
        </w:drawing>
      </w:r>
    </w:p>
    <w:p>
      <w:pPr>
        <w:pStyle w:val="ImageCaption"/>
      </w:pPr>
      <w:r>
        <w:t xml:space="preserve">Fuel Mix — Compare Mode (NEM vs NSW)</w:t>
      </w:r>
    </w:p>
    <w:p>
      <w:r>
        <w:pict>
          <v:rect style="width:0;height:1.5pt" o:hralign="center" o:hrstd="t" o:hr="t"/>
        </w:pict>
      </w:r>
    </w:p>
    <w:bookmarkEnd w:id="38"/>
    <w:bookmarkEnd w:id="39"/>
    <w:bookmarkStart w:id="48" w:name="renewable-penetration"/>
    <w:p>
      <w:pPr>
        <w:pStyle w:val="Heading2"/>
      </w:pPr>
      <w:r>
        <w:t xml:space="preserve">5. Renewable Penetration</w:t>
      </w:r>
    </w:p>
    <w:p>
      <w:pPr>
        <w:pStyle w:val="FirstParagraph"/>
      </w:pPr>
      <w:r>
        <w:t xml:space="preserve">A donut chart showing the percentage of current generation from renewable sources (wind, solar, hydro, biomass, battery, rooftop PV) versus non-renewable sources. The percentage is displayed prominently in the centre.</w:t>
      </w:r>
    </w:p>
    <w:p>
      <w:pPr>
        <w:pStyle w:val="Compact"/>
        <w:numPr>
          <w:ilvl w:val="0"/>
          <w:numId w:val="1007"/>
        </w:numPr>
      </w:pPr>
      <w:r>
        <w:rPr>
          <w:b/>
          <w:bCs/>
        </w:rPr>
        <w:t xml:space="preserve">Region selector</w:t>
      </w:r>
      <w:r>
        <w:t xml:space="preserve"> </w:t>
      </w:r>
      <w:r>
        <w:t xml:space="preserve">— individual NEM regions, WA, or NEM aggregate</w:t>
      </w:r>
    </w:p>
    <w:p>
      <w:pPr>
        <w:pStyle w:val="Compact"/>
        <w:numPr>
          <w:ilvl w:val="0"/>
          <w:numId w:val="1007"/>
        </w:numPr>
      </w:pPr>
      <w:r>
        <w:t xml:space="preserve">Renewable classification covers: Wind, Solar, Hydro, Biomass, Battery, Rooftop PV, Distributed PV, Utility-scale Solar</w:t>
      </w:r>
    </w:p>
    <w:p>
      <w:pPr>
        <w:pStyle w:val="Compact"/>
        <w:numPr>
          <w:ilvl w:val="0"/>
          <w:numId w:val="1007"/>
        </w:numPr>
      </w:pPr>
      <w:r>
        <w:t xml:space="preserve">Green/dark colour scheme for clear visual distinction</w:t>
      </w:r>
    </w:p>
    <w:bookmarkStart w:id="40" w:name="compare-mode-2"/>
    <w:p>
      <w:pPr>
        <w:pStyle w:val="Heading3"/>
      </w:pPr>
      <w:r>
        <w:t xml:space="preserve">Compare Mode</w:t>
      </w:r>
    </w:p>
    <w:p>
      <w:pPr>
        <w:pStyle w:val="FirstParagraph"/>
      </w:pPr>
      <w:r>
        <w:t xml:space="preserve">Click</w:t>
      </w:r>
      <w:r>
        <w:t xml:space="preserve"> </w:t>
      </w:r>
      <w:r>
        <w:rPr>
          <w:b/>
          <w:bCs/>
        </w:rPr>
        <w:t xml:space="preserve">Compare</w:t>
      </w:r>
      <w:r>
        <w:t xml:space="preserve"> </w:t>
      </w:r>
      <w:r>
        <w:t xml:space="preserve">to see side-by-side donut charts showing renewable penetration for multiple regions simultaneously. Each donut displays its region label and percentage, making cross-regional comparison immediate.</w:t>
      </w:r>
    </w:p>
    <w:bookmarkEnd w:id="40"/>
    <w:bookmarkStart w:id="47" w:name="data-source-4"/>
    <w:p>
      <w:pPr>
        <w:pStyle w:val="Heading3"/>
      </w:pPr>
      <w:r>
        <w:t xml:space="preserve">Data Source</w:t>
      </w:r>
    </w:p>
    <w:p>
      <w:pPr>
        <w:pStyle w:val="FirstParagraph"/>
      </w:pPr>
      <w:r>
        <w:t xml:space="preserve">Same as Fuel Mix — derived by classifying fuel types as renewable/non-renewable.</w:t>
      </w:r>
    </w:p>
    <w:p>
      <w:pPr>
        <w:pStyle w:val="CaptionedFigure"/>
      </w:pPr>
      <w:r>
        <w:drawing>
          <wp:inline>
            <wp:extent cx="5334000" cy="3455910"/>
            <wp:effectExtent b="0" l="0" r="0" t="0"/>
            <wp:docPr descr="Renewable Penetration — NEM Aggregate" title="" id="42" name="Picture"/>
            <a:graphic>
              <a:graphicData uri="http://schemas.openxmlformats.org/drawingml/2006/picture">
                <pic:pic>
                  <pic:nvPicPr>
                    <pic:cNvPr descr="screenshots/05-renewable-penetration.png" id="43" name="Picture"/>
                    <pic:cNvPicPr>
                      <a:picLocks noChangeArrowheads="1" noChangeAspect="1"/>
                    </pic:cNvPicPr>
                  </pic:nvPicPr>
                  <pic:blipFill>
                    <a:blip r:embed="rId41"/>
                    <a:stretch>
                      <a:fillRect/>
                    </a:stretch>
                  </pic:blipFill>
                  <pic:spPr bwMode="auto">
                    <a:xfrm>
                      <a:off x="0" y="0"/>
                      <a:ext cx="5334000" cy="3455910"/>
                    </a:xfrm>
                    <a:prstGeom prst="rect">
                      <a:avLst/>
                    </a:prstGeom>
                    <a:noFill/>
                    <a:ln w="9525">
                      <a:noFill/>
                      <a:headEnd/>
                      <a:tailEnd/>
                    </a:ln>
                  </pic:spPr>
                </pic:pic>
              </a:graphicData>
            </a:graphic>
          </wp:inline>
        </w:drawing>
      </w:r>
    </w:p>
    <w:p>
      <w:pPr>
        <w:pStyle w:val="ImageCaption"/>
      </w:pPr>
      <w:r>
        <w:t xml:space="preserve">Renewable Penetration — NEM Aggregate</w:t>
      </w:r>
    </w:p>
    <w:p>
      <w:pPr>
        <w:pStyle w:val="CaptionedFigure"/>
      </w:pPr>
      <w:r>
        <w:drawing>
          <wp:inline>
            <wp:extent cx="5334000" cy="3455910"/>
            <wp:effectExtent b="0" l="0" r="0" t="0"/>
            <wp:docPr descr="Renewable Penetration — Compare Mode (NEM vs SA)" title="" id="45" name="Picture"/>
            <a:graphic>
              <a:graphicData uri="http://schemas.openxmlformats.org/drawingml/2006/picture">
                <pic:pic>
                  <pic:nvPicPr>
                    <pic:cNvPr descr="screenshots/05b-renewable-compare.png" id="46" name="Picture"/>
                    <pic:cNvPicPr>
                      <a:picLocks noChangeArrowheads="1" noChangeAspect="1"/>
                    </pic:cNvPicPr>
                  </pic:nvPicPr>
                  <pic:blipFill>
                    <a:blip r:embed="rId44"/>
                    <a:stretch>
                      <a:fillRect/>
                    </a:stretch>
                  </pic:blipFill>
                  <pic:spPr bwMode="auto">
                    <a:xfrm>
                      <a:off x="0" y="0"/>
                      <a:ext cx="5334000" cy="3455910"/>
                    </a:xfrm>
                    <a:prstGeom prst="rect">
                      <a:avLst/>
                    </a:prstGeom>
                    <a:noFill/>
                    <a:ln w="9525">
                      <a:noFill/>
                      <a:headEnd/>
                      <a:tailEnd/>
                    </a:ln>
                  </pic:spPr>
                </pic:pic>
              </a:graphicData>
            </a:graphic>
          </wp:inline>
        </w:drawing>
      </w:r>
    </w:p>
    <w:p>
      <w:pPr>
        <w:pStyle w:val="ImageCaption"/>
      </w:pPr>
      <w:r>
        <w:t xml:space="preserve">Renewable Penetration — Compare Mode (NEM vs SA)</w:t>
      </w:r>
    </w:p>
    <w:p>
      <w:r>
        <w:pict>
          <v:rect style="width:0;height:1.5pt" o:hralign="center" o:hrstd="t" o:hr="t"/>
        </w:pict>
      </w:r>
    </w:p>
    <w:bookmarkEnd w:id="47"/>
    <w:bookmarkEnd w:id="48"/>
    <w:bookmarkStart w:id="53" w:name="average-price"/>
    <w:p>
      <w:pPr>
        <w:pStyle w:val="Heading2"/>
      </w:pPr>
      <w:r>
        <w:t xml:space="preserve">6. Average Price</w:t>
      </w:r>
    </w:p>
    <w:p>
      <w:pPr>
        <w:pStyle w:val="FirstParagraph"/>
      </w:pPr>
      <w:r>
        <w:t xml:space="preserve">Displays the average spot price for each NEM region as a bar chart, derived from the most recent dispatch data. WA average price is included, aligned to the NEM date window (~4 days from the WEM pulse feed).</w:t>
      </w:r>
    </w:p>
    <w:p>
      <w:pPr>
        <w:pStyle w:val="Compact"/>
        <w:numPr>
          <w:ilvl w:val="0"/>
          <w:numId w:val="1008"/>
        </w:numPr>
      </w:pPr>
      <w:r>
        <w:rPr>
          <w:b/>
          <w:bCs/>
        </w:rPr>
        <w:t xml:space="preserve">Bar chart</w:t>
      </w:r>
      <w:r>
        <w:t xml:space="preserve"> </w:t>
      </w:r>
      <w:r>
        <w:t xml:space="preserve">comparing average price across all regions</w:t>
      </w:r>
    </w:p>
    <w:p>
      <w:pPr>
        <w:pStyle w:val="Compact"/>
        <w:numPr>
          <w:ilvl w:val="0"/>
          <w:numId w:val="1008"/>
        </w:numPr>
      </w:pPr>
      <w:r>
        <w:t xml:space="preserve">Colour-coded by region for quick identification</w:t>
      </w:r>
    </w:p>
    <w:p>
      <w:pPr>
        <w:pStyle w:val="Compact"/>
        <w:numPr>
          <w:ilvl w:val="0"/>
          <w:numId w:val="1008"/>
        </w:numPr>
      </w:pPr>
      <w:r>
        <w:t xml:space="preserve">Useful for spotting sustained price divergence between states</w:t>
      </w:r>
    </w:p>
    <w:bookmarkStart w:id="52" w:name="data-source-5"/>
    <w:p>
      <w:pPr>
        <w:pStyle w:val="Heading3"/>
      </w:pPr>
      <w:r>
        <w:t xml:space="preserve">Data Source</w:t>
      </w:r>
    </w:p>
    <w:tbl>
      <w:tblPr>
        <w:tblStyle w:val="Table"/>
        <w:tblW w:type="pct" w:w="5000"/>
        <w:tblLayout w:type="fixed"/>
        <w:tblLook w:firstRow="1" w:lastRow="0" w:firstColumn="0" w:lastColumn="0" w:noHBand="0" w:noVBand="0" w:val="0020"/>
      </w:tblPr>
      <w:tblGrid>
        <w:gridCol w:w="3520"/>
        <w:gridCol w:w="2200"/>
        <w:gridCol w:w="2200"/>
      </w:tblGrid>
      <w:tr>
        <w:trPr>
          <w:tblHeader w:val="on"/>
        </w:trPr>
        <w:tc>
          <w:tcPr/>
          <w:p>
            <w:pPr>
              <w:pStyle w:val="Compact"/>
            </w:pPr>
            <w:r>
              <w:t xml:space="preserve">Aspect</w:t>
            </w:r>
          </w:p>
        </w:tc>
        <w:tc>
          <w:tcPr/>
          <w:p>
            <w:pPr>
              <w:pStyle w:val="Compact"/>
            </w:pPr>
            <w:r>
              <w:t xml:space="preserve">NEM</w:t>
            </w:r>
          </w:p>
        </w:tc>
        <w:tc>
          <w:tcPr/>
          <w:p>
            <w:pPr>
              <w:pStyle w:val="Compact"/>
            </w:pPr>
            <w:r>
              <w:t xml:space="preserve">WEM</w:t>
            </w:r>
          </w:p>
        </w:tc>
      </w:tr>
      <w:tr>
        <w:tc>
          <w:tcPr/>
          <w:p>
            <w:pPr>
              <w:pStyle w:val="Compact"/>
            </w:pPr>
            <w:r>
              <w:rPr>
                <w:b/>
                <w:bCs/>
              </w:rPr>
              <w:t xml:space="preserve">Endpoint</w:t>
            </w:r>
          </w:p>
        </w:tc>
        <w:tc>
          <w:tcPr/>
          <w:p>
            <w:pPr>
              <w:pStyle w:val="Compact"/>
            </w:pPr>
            <w:r>
              <w:rPr>
                <w:rStyle w:val="VerbatimChar"/>
              </w:rPr>
              <w:t xml:space="preserve">/NEM/v1/PWS/NEMDashboard/dailyAveragePrices?year={YYYY}&amp;month={MM}</w:t>
            </w:r>
          </w:p>
        </w:tc>
        <w:tc>
          <w:tcPr/>
          <w:p>
            <w:pPr>
              <w:pStyle w:val="Compact"/>
            </w:pPr>
            <w:r>
              <w:rPr>
                <w:rStyle w:val="VerbatimChar"/>
              </w:rPr>
              <w:t xml:space="preserve">pulse.csv</w:t>
            </w:r>
          </w:p>
        </w:tc>
      </w:tr>
      <w:tr>
        <w:tc>
          <w:tcPr/>
          <w:p>
            <w:pPr>
              <w:pStyle w:val="Compact"/>
            </w:pPr>
            <w:r>
              <w:rPr>
                <w:b/>
                <w:bCs/>
              </w:rPr>
              <w:t xml:space="preserve">Freshness</w:t>
            </w:r>
          </w:p>
        </w:tc>
        <w:tc>
          <w:tcPr/>
          <w:p>
            <w:pPr>
              <w:pStyle w:val="Compact"/>
            </w:pPr>
            <w:r>
              <w:t xml:space="preserve">4.5 minutes</w:t>
            </w:r>
          </w:p>
        </w:tc>
        <w:tc>
          <w:tcPr/>
          <w:p>
            <w:pPr>
              <w:pStyle w:val="Compact"/>
            </w:pPr>
            <w:r>
              <w:t xml:space="preserve">25 minutes</w:t>
            </w:r>
          </w:p>
        </w:tc>
      </w:tr>
      <w:tr>
        <w:tc>
          <w:tcPr/>
          <w:p>
            <w:pPr>
              <w:pStyle w:val="Compact"/>
            </w:pPr>
            <w:r>
              <w:rPr>
                <w:b/>
                <w:bCs/>
              </w:rPr>
              <w:t xml:space="preserve">Calculation</w:t>
            </w:r>
          </w:p>
        </w:tc>
        <w:tc>
          <w:tcPr/>
          <w:p>
            <w:pPr>
              <w:pStyle w:val="Compact"/>
            </w:pPr>
            <w:r>
              <w:t xml:space="preserve">Pre-aggregated by AEMO</w:t>
            </w:r>
          </w:p>
        </w:tc>
        <w:tc>
          <w:tcPr/>
          <w:p>
            <w:pPr>
              <w:pStyle w:val="Compact"/>
            </w:pPr>
            <w:r>
              <w:t xml:space="preserve">Computed from</w:t>
            </w:r>
            <w:r>
              <w:t xml:space="preserve"> </w:t>
            </w:r>
            <w:r>
              <w:rPr>
                <w:rStyle w:val="VerbatimChar"/>
              </w:rPr>
              <w:t xml:space="preserve">ENERGY_PRICE</w:t>
            </w:r>
            <w:r>
              <w:t xml:space="preserve"> </w:t>
            </w:r>
            <w:r>
              <w:t xml:space="preserve">time series</w:t>
            </w:r>
          </w:p>
        </w:tc>
      </w:tr>
    </w:tbl>
    <w:p>
      <w:pPr>
        <w:pStyle w:val="CaptionedFigure"/>
      </w:pPr>
      <w:r>
        <w:drawing>
          <wp:inline>
            <wp:extent cx="5334000" cy="3455910"/>
            <wp:effectExtent b="0" l="0" r="0" t="0"/>
            <wp:docPr descr="Average Price" title="" id="50" name="Picture"/>
            <a:graphic>
              <a:graphicData uri="http://schemas.openxmlformats.org/drawingml/2006/picture">
                <pic:pic>
                  <pic:nvPicPr>
                    <pic:cNvPr descr="screenshots/06-average-price.png" id="51" name="Picture"/>
                    <pic:cNvPicPr>
                      <a:picLocks noChangeArrowheads="1" noChangeAspect="1"/>
                    </pic:cNvPicPr>
                  </pic:nvPicPr>
                  <pic:blipFill>
                    <a:blip r:embed="rId49"/>
                    <a:stretch>
                      <a:fillRect/>
                    </a:stretch>
                  </pic:blipFill>
                  <pic:spPr bwMode="auto">
                    <a:xfrm>
                      <a:off x="0" y="0"/>
                      <a:ext cx="5334000" cy="3455910"/>
                    </a:xfrm>
                    <a:prstGeom prst="rect">
                      <a:avLst/>
                    </a:prstGeom>
                    <a:noFill/>
                    <a:ln w="9525">
                      <a:noFill/>
                      <a:headEnd/>
                      <a:tailEnd/>
                    </a:ln>
                  </pic:spPr>
                </pic:pic>
              </a:graphicData>
            </a:graphic>
          </wp:inline>
        </w:drawing>
      </w:r>
    </w:p>
    <w:p>
      <w:pPr>
        <w:pStyle w:val="ImageCaption"/>
      </w:pPr>
      <w:r>
        <w:t xml:space="preserve">Average Price</w:t>
      </w:r>
    </w:p>
    <w:p>
      <w:r>
        <w:pict>
          <v:rect style="width:0;height:1.5pt" o:hralign="center" o:hrstd="t" o:hr="t"/>
        </w:pict>
      </w:r>
    </w:p>
    <w:bookmarkEnd w:id="52"/>
    <w:bookmarkEnd w:id="53"/>
    <w:bookmarkStart w:id="58" w:name="day-outlook"/>
    <w:p>
      <w:pPr>
        <w:pStyle w:val="Heading2"/>
      </w:pPr>
      <w:r>
        <w:t xml:space="preserve">7. 7-Day Outlook</w:t>
      </w:r>
    </w:p>
    <w:p>
      <w:pPr>
        <w:pStyle w:val="FirstParagraph"/>
      </w:pPr>
      <w:r>
        <w:t xml:space="preserve">A tabular view of AEMO’s Short Term Projected Assessment of System Adequacy (ST PASA), showing forecast demand, available capacity, and reserve margins for each NEM region over the coming seven days.</w:t>
      </w:r>
    </w:p>
    <w:p>
      <w:pPr>
        <w:pStyle w:val="Compact"/>
        <w:numPr>
          <w:ilvl w:val="0"/>
          <w:numId w:val="1009"/>
        </w:numPr>
      </w:pPr>
      <w:r>
        <w:rPr>
          <w:b/>
          <w:bCs/>
        </w:rPr>
        <w:t xml:space="preserve">Daily breakdown</w:t>
      </w:r>
      <w:r>
        <w:t xml:space="preserve"> </w:t>
      </w:r>
      <w:r>
        <w:t xml:space="preserve">with peak demand forecasts</w:t>
      </w:r>
    </w:p>
    <w:p>
      <w:pPr>
        <w:pStyle w:val="Compact"/>
        <w:numPr>
          <w:ilvl w:val="0"/>
          <w:numId w:val="1009"/>
        </w:numPr>
      </w:pPr>
      <w:r>
        <w:rPr>
          <w:b/>
          <w:bCs/>
        </w:rPr>
        <w:t xml:space="preserve">Capacity and reserve</w:t>
      </w:r>
      <w:r>
        <w:t xml:space="preserve"> </w:t>
      </w:r>
      <w:r>
        <w:t xml:space="preserve">columns highlight potential shortfalls</w:t>
      </w:r>
    </w:p>
    <w:p>
      <w:pPr>
        <w:pStyle w:val="Compact"/>
        <w:numPr>
          <w:ilvl w:val="0"/>
          <w:numId w:val="1009"/>
        </w:numPr>
      </w:pPr>
      <w:r>
        <w:t xml:space="preserve">Critical for operational planning and market participant decision-making</w:t>
      </w:r>
    </w:p>
    <w:p>
      <w:pPr>
        <w:pStyle w:val="Compact"/>
        <w:numPr>
          <w:ilvl w:val="0"/>
          <w:numId w:val="1009"/>
        </w:numPr>
      </w:pPr>
      <w:r>
        <w:t xml:space="preserve">NEM only — WEM outlook data is not available via the same API</w:t>
      </w:r>
    </w:p>
    <w:bookmarkStart w:id="57" w:name="data-source-6"/>
    <w:p>
      <w:pPr>
        <w:pStyle w:val="Heading3"/>
      </w:pPr>
      <w:r>
        <w:t xml:space="preserve">Data Source</w:t>
      </w:r>
    </w:p>
    <w:tbl>
      <w:tblPr>
        <w:tblStyle w:val="Table"/>
        <w:tblW w:type="pct" w:w="5000"/>
        <w:tblLayout w:type="fixed"/>
        <w:tblLook w:firstRow="1" w:lastRow="0" w:firstColumn="0" w:lastColumn="0" w:noHBand="0" w:noVBand="0" w:val="0020"/>
      </w:tblPr>
      <w:tblGrid>
        <w:gridCol w:w="4224"/>
        <w:gridCol w:w="3696"/>
      </w:tblGrid>
      <w:tr>
        <w:trPr>
          <w:tblHeader w:val="on"/>
        </w:trPr>
        <w:tc>
          <w:tcPr/>
          <w:p>
            <w:pPr>
              <w:pStyle w:val="Compact"/>
            </w:pPr>
            <w:r>
              <w:t xml:space="preserve">Aspect</w:t>
            </w:r>
          </w:p>
        </w:tc>
        <w:tc>
          <w:tcPr/>
          <w:p>
            <w:pPr>
              <w:pStyle w:val="Compact"/>
            </w:pPr>
            <w:r>
              <w:t xml:space="preserve">Value</w:t>
            </w:r>
          </w:p>
        </w:tc>
      </w:tr>
      <w:tr>
        <w:tc>
          <w:tcPr/>
          <w:p>
            <w:pPr>
              <w:pStyle w:val="Compact"/>
            </w:pPr>
            <w:r>
              <w:rPr>
                <w:b/>
                <w:bCs/>
              </w:rPr>
              <w:t xml:space="preserve">Endpoint</w:t>
            </w:r>
          </w:p>
        </w:tc>
        <w:tc>
          <w:tcPr/>
          <w:p>
            <w:pPr>
              <w:pStyle w:val="Compact"/>
            </w:pPr>
            <w:r>
              <w:rPr>
                <w:rStyle w:val="VerbatimChar"/>
              </w:rPr>
              <w:t xml:space="preserve">/NEM/v1/PWS/NEMDashboard/sevenDayOutlook</w:t>
            </w:r>
          </w:p>
        </w:tc>
      </w:tr>
      <w:tr>
        <w:tc>
          <w:tcPr/>
          <w:p>
            <w:pPr>
              <w:pStyle w:val="Compact"/>
            </w:pPr>
            <w:r>
              <w:rPr>
                <w:b/>
                <w:bCs/>
              </w:rPr>
              <w:t xml:space="preserve">Freshness</w:t>
            </w:r>
          </w:p>
        </w:tc>
        <w:tc>
          <w:tcPr/>
          <w:p>
            <w:pPr>
              <w:pStyle w:val="Compact"/>
            </w:pPr>
            <w:r>
              <w:t xml:space="preserve">4.5 minutes</w:t>
            </w:r>
          </w:p>
        </w:tc>
      </w:tr>
      <w:tr>
        <w:tc>
          <w:tcPr/>
          <w:p>
            <w:pPr>
              <w:pStyle w:val="Compact"/>
            </w:pPr>
            <w:r>
              <w:rPr>
                <w:b/>
                <w:bCs/>
              </w:rPr>
              <w:t xml:space="preserve">Market</w:t>
            </w:r>
          </w:p>
        </w:tc>
        <w:tc>
          <w:tcPr/>
          <w:p>
            <w:pPr>
              <w:pStyle w:val="Compact"/>
            </w:pPr>
            <w:r>
              <w:t xml:space="preserve">NEM only</w:t>
            </w:r>
          </w:p>
        </w:tc>
      </w:tr>
      <w:tr>
        <w:tc>
          <w:tcPr/>
          <w:p>
            <w:pPr>
              <w:pStyle w:val="Compact"/>
            </w:pPr>
            <w:r>
              <w:rPr>
                <w:b/>
                <w:bCs/>
              </w:rPr>
              <w:t xml:space="preserve">Fields</w:t>
            </w:r>
          </w:p>
        </w:tc>
        <w:tc>
          <w:tcPr/>
          <w:p>
            <w:pPr>
              <w:pStyle w:val="Compact"/>
            </w:pPr>
            <w:r>
              <w:rPr>
                <w:rStyle w:val="VerbatimChar"/>
              </w:rPr>
              <w:t xml:space="preserve">prettyDate</w:t>
            </w:r>
            <w:r>
              <w:t xml:space="preserve">,</w:t>
            </w:r>
            <w:r>
              <w:t xml:space="preserve"> </w:t>
            </w:r>
            <w:r>
              <w:rPr>
                <w:rStyle w:val="VerbatimChar"/>
              </w:rPr>
              <w:t xml:space="preserve">regionId</w:t>
            </w:r>
            <w:r>
              <w:t xml:space="preserve">,</w:t>
            </w:r>
            <w:r>
              <w:t xml:space="preserve"> </w:t>
            </w:r>
            <w:r>
              <w:rPr>
                <w:rStyle w:val="VerbatimChar"/>
              </w:rPr>
              <w:t xml:space="preserve">dataType</w:t>
            </w:r>
            <w:r>
              <w:t xml:space="preserve">,</w:t>
            </w:r>
            <w:r>
              <w:t xml:space="preserve"> </w:t>
            </w:r>
            <w:r>
              <w:rPr>
                <w:rStyle w:val="VerbatimChar"/>
              </w:rPr>
              <w:t xml:space="preserve">dataValue</w:t>
            </w:r>
            <w:r>
              <w:t xml:space="preserve"> </w:t>
            </w:r>
            <w:r>
              <w:t xml:space="preserve">(pivoted into table)</w:t>
            </w:r>
          </w:p>
        </w:tc>
      </w:tr>
    </w:tbl>
    <w:p>
      <w:pPr>
        <w:pStyle w:val="CaptionedFigure"/>
      </w:pPr>
      <w:r>
        <w:drawing>
          <wp:inline>
            <wp:extent cx="5334000" cy="7413112"/>
            <wp:effectExtent b="0" l="0" r="0" t="0"/>
            <wp:docPr descr="7-Day Outlook" title="" id="55" name="Picture"/>
            <a:graphic>
              <a:graphicData uri="http://schemas.openxmlformats.org/drawingml/2006/picture">
                <pic:pic>
                  <pic:nvPicPr>
                    <pic:cNvPr descr="screenshots/07-seven-day-outlook.png" id="56" name="Picture"/>
                    <pic:cNvPicPr>
                      <a:picLocks noChangeArrowheads="1" noChangeAspect="1"/>
                    </pic:cNvPicPr>
                  </pic:nvPicPr>
                  <pic:blipFill>
                    <a:blip r:embed="rId54"/>
                    <a:stretch>
                      <a:fillRect/>
                    </a:stretch>
                  </pic:blipFill>
                  <pic:spPr bwMode="auto">
                    <a:xfrm>
                      <a:off x="0" y="0"/>
                      <a:ext cx="5334000" cy="7413112"/>
                    </a:xfrm>
                    <a:prstGeom prst="rect">
                      <a:avLst/>
                    </a:prstGeom>
                    <a:noFill/>
                    <a:ln w="9525">
                      <a:noFill/>
                      <a:headEnd/>
                      <a:tailEnd/>
                    </a:ln>
                  </pic:spPr>
                </pic:pic>
              </a:graphicData>
            </a:graphic>
          </wp:inline>
        </w:drawing>
      </w:r>
    </w:p>
    <w:p>
      <w:pPr>
        <w:pStyle w:val="ImageCaption"/>
      </w:pPr>
      <w:r>
        <w:t xml:space="preserve">7-Day Outlook</w:t>
      </w:r>
    </w:p>
    <w:p>
      <w:r>
        <w:pict>
          <v:rect style="width:0;height:1.5pt" o:hralign="center" o:hrstd="t" o:hr="t"/>
        </w:pict>
      </w:r>
    </w:p>
    <w:bookmarkEnd w:id="57"/>
    <w:bookmarkEnd w:id="58"/>
    <w:bookmarkStart w:id="64" w:name="fcas-prices"/>
    <w:p>
      <w:pPr>
        <w:pStyle w:val="Heading2"/>
      </w:pPr>
      <w:r>
        <w:t xml:space="preserve">8. FCAS Prices</w:t>
      </w:r>
    </w:p>
    <w:p>
      <w:pPr>
        <w:pStyle w:val="FirstParagraph"/>
      </w:pPr>
      <w:r>
        <w:t xml:space="preserve">A heatmap displaying</w:t>
      </w:r>
      <w:r>
        <w:t xml:space="preserve"> </w:t>
      </w:r>
      <w:r>
        <w:rPr>
          <w:b/>
          <w:bCs/>
        </w:rPr>
        <w:t xml:space="preserve">Frequency Control Ancillary Services (FCAS)</w:t>
      </w:r>
      <w:r>
        <w:t xml:space="preserve"> </w:t>
      </w:r>
      <w:r>
        <w:t xml:space="preserve">prices across all NEM regions. FCAS markets are essential for maintaining grid frequency stability — generators and loads are paid to provide rapid response services.</w:t>
      </w:r>
    </w:p>
    <w:p>
      <w:pPr>
        <w:pStyle w:val="Compact"/>
        <w:numPr>
          <w:ilvl w:val="0"/>
          <w:numId w:val="1010"/>
        </w:numPr>
      </w:pPr>
      <w:r>
        <w:rPr>
          <w:b/>
          <w:bCs/>
        </w:rPr>
        <w:t xml:space="preserve">Heatmap</w:t>
      </w:r>
      <w:r>
        <w:t xml:space="preserve"> </w:t>
      </w:r>
      <w:r>
        <w:t xml:space="preserve">with regions on the Y-axis, FCAS services on the X-axis</w:t>
      </w:r>
    </w:p>
    <w:p>
      <w:pPr>
        <w:pStyle w:val="Compact"/>
        <w:numPr>
          <w:ilvl w:val="0"/>
          <w:numId w:val="1010"/>
        </w:numPr>
      </w:pPr>
      <w:r>
        <w:rPr>
          <w:b/>
          <w:bCs/>
        </w:rPr>
        <w:t xml:space="preserve">Colour intensity</w:t>
      </w:r>
      <w:r>
        <w:t xml:space="preserve"> </w:t>
      </w:r>
      <w:r>
        <w:t xml:space="preserve">represents price (blue scale: light = low, dark = high)</w:t>
      </w:r>
    </w:p>
    <w:p>
      <w:pPr>
        <w:pStyle w:val="Compact"/>
        <w:numPr>
          <w:ilvl w:val="0"/>
          <w:numId w:val="1010"/>
        </w:numPr>
      </w:pPr>
      <w:r>
        <w:rPr>
          <w:b/>
          <w:bCs/>
        </w:rPr>
        <w:t xml:space="preserve">10 FCAS services</w:t>
      </w:r>
      <w:r>
        <w:t xml:space="preserve"> </w:t>
      </w:r>
      <w:r>
        <w:t xml:space="preserve">displayed: Raise/Lower for 1s, 6s, 60s, 5m, and Regulation</w:t>
      </w:r>
    </w:p>
    <w:p>
      <w:pPr>
        <w:pStyle w:val="Compact"/>
        <w:numPr>
          <w:ilvl w:val="0"/>
          <w:numId w:val="1010"/>
        </w:numPr>
      </w:pPr>
      <w:r>
        <w:rPr>
          <w:b/>
          <w:bCs/>
        </w:rPr>
        <w:t xml:space="preserve">KPI row</w:t>
      </w:r>
      <w:r>
        <w:t xml:space="preserve"> </w:t>
      </w:r>
      <w:r>
        <w:t xml:space="preserve">shows average energy price, average FCAS price, highest FCAS price, and peak service/region</w:t>
      </w:r>
    </w:p>
    <w:bookmarkStart w:id="59" w:name="fcas-services-explained"/>
    <w:p>
      <w:pPr>
        <w:pStyle w:val="Heading3"/>
      </w:pPr>
      <w:r>
        <w:t xml:space="preserve">FCAS Services Explained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Service</w:t>
            </w:r>
          </w:p>
        </w:tc>
        <w:tc>
          <w:tcPr/>
          <w:p>
            <w:pPr>
              <w:pStyle w:val="Compact"/>
            </w:pPr>
            <w:r>
              <w:t xml:space="preserve">Purpose</w:t>
            </w:r>
          </w:p>
        </w:tc>
      </w:tr>
      <w:tr>
        <w:tc>
          <w:tcPr/>
          <w:p>
            <w:pPr>
              <w:pStyle w:val="Compact"/>
            </w:pPr>
            <w:r>
              <w:t xml:space="preserve">Raise 1s/6s/60s/5m</w:t>
            </w:r>
          </w:p>
        </w:tc>
        <w:tc>
          <w:tcPr/>
          <w:p>
            <w:pPr>
              <w:pStyle w:val="Compact"/>
            </w:pPr>
            <w:r>
              <w:t xml:space="preserve">Increase generation/reduce load to raise frequency</w:t>
            </w:r>
          </w:p>
        </w:tc>
      </w:tr>
      <w:tr>
        <w:tc>
          <w:tcPr/>
          <w:p>
            <w:pPr>
              <w:pStyle w:val="Compact"/>
            </w:pPr>
            <w:r>
              <w:t xml:space="preserve">Lower 1s/6s/60s/5m</w:t>
            </w:r>
          </w:p>
        </w:tc>
        <w:tc>
          <w:tcPr/>
          <w:p>
            <w:pPr>
              <w:pStyle w:val="Compact"/>
            </w:pPr>
            <w:r>
              <w:t xml:space="preserve">Decrease generation/increase load to lower frequency</w:t>
            </w:r>
          </w:p>
        </w:tc>
      </w:tr>
      <w:tr>
        <w:tc>
          <w:tcPr/>
          <w:p>
            <w:pPr>
              <w:pStyle w:val="Compact"/>
            </w:pPr>
            <w:r>
              <w:t xml:space="preserve">Raise/Lower Reg</w:t>
            </w:r>
          </w:p>
        </w:tc>
        <w:tc>
          <w:tcPr/>
          <w:p>
            <w:pPr>
              <w:pStyle w:val="Compact"/>
            </w:pPr>
            <w:r>
              <w:t xml:space="preserve">Continuous regulation to maintain 50Hz</w:t>
            </w:r>
          </w:p>
        </w:tc>
      </w:tr>
    </w:tbl>
    <w:bookmarkEnd w:id="59"/>
    <w:bookmarkStart w:id="63" w:name="data-source-7"/>
    <w:p>
      <w:pPr>
        <w:pStyle w:val="Heading3"/>
      </w:pPr>
      <w:r>
        <w:t xml:space="preserve">Data Source</w:t>
      </w:r>
    </w:p>
    <w:tbl>
      <w:tblPr>
        <w:tblStyle w:val="Table"/>
        <w:tblW w:type="pct" w:w="5000"/>
        <w:tblLayout w:type="fixed"/>
        <w:tblLook w:firstRow="1" w:lastRow="0" w:firstColumn="0" w:lastColumn="0" w:noHBand="0" w:noVBand="0" w:val="0020"/>
      </w:tblPr>
      <w:tblGrid>
        <w:gridCol w:w="4224"/>
        <w:gridCol w:w="3696"/>
      </w:tblGrid>
      <w:tr>
        <w:trPr>
          <w:tblHeader w:val="on"/>
        </w:trPr>
        <w:tc>
          <w:tcPr/>
          <w:p>
            <w:pPr>
              <w:pStyle w:val="Compact"/>
            </w:pPr>
            <w:r>
              <w:t xml:space="preserve">Aspect</w:t>
            </w:r>
          </w:p>
        </w:tc>
        <w:tc>
          <w:tcPr/>
          <w:p>
            <w:pPr>
              <w:pStyle w:val="Compact"/>
            </w:pPr>
            <w:r>
              <w:t xml:space="preserve">Value</w:t>
            </w:r>
          </w:p>
        </w:tc>
      </w:tr>
      <w:tr>
        <w:tc>
          <w:tcPr/>
          <w:p>
            <w:pPr>
              <w:pStyle w:val="Compact"/>
            </w:pPr>
            <w:r>
              <w:rPr>
                <w:b/>
                <w:bCs/>
              </w:rPr>
              <w:t xml:space="preserve">Endpoint</w:t>
            </w:r>
          </w:p>
        </w:tc>
        <w:tc>
          <w:tcPr/>
          <w:p>
            <w:pPr>
              <w:pStyle w:val="Compact"/>
            </w:pPr>
            <w:r>
              <w:rPr>
                <w:rStyle w:val="VerbatimChar"/>
              </w:rPr>
              <w:t xml:space="preserve">/NEM/v1/PWS/NEMDashboard/elecSummary</w:t>
            </w:r>
            <w:r>
              <w:t xml:space="preserve"> </w:t>
            </w:r>
            <w:r>
              <w:t xml:space="preserve">(prices array)</w:t>
            </w:r>
          </w:p>
        </w:tc>
      </w:tr>
      <w:tr>
        <w:tc>
          <w:tcPr/>
          <w:p>
            <w:pPr>
              <w:pStyle w:val="Compact"/>
            </w:pPr>
            <w:r>
              <w:rPr>
                <w:b/>
                <w:bCs/>
              </w:rPr>
              <w:t xml:space="preserve">Freshness</w:t>
            </w:r>
          </w:p>
        </w:tc>
        <w:tc>
          <w:tcPr/>
          <w:p>
            <w:pPr>
              <w:pStyle w:val="Compact"/>
            </w:pPr>
            <w:r>
              <w:t xml:space="preserve">4.5 minutes</w:t>
            </w:r>
          </w:p>
        </w:tc>
      </w:tr>
      <w:tr>
        <w:tc>
          <w:tcPr/>
          <w:p>
            <w:pPr>
              <w:pStyle w:val="Compact"/>
            </w:pPr>
            <w:r>
              <w:rPr>
                <w:b/>
                <w:bCs/>
              </w:rPr>
              <w:t xml:space="preserve">Market</w:t>
            </w:r>
          </w:p>
        </w:tc>
        <w:tc>
          <w:tcPr/>
          <w:p>
            <w:pPr>
              <w:pStyle w:val="Compact"/>
            </w:pPr>
            <w:r>
              <w:t xml:space="preserve">NEM only</w:t>
            </w:r>
          </w:p>
        </w:tc>
      </w:tr>
      <w:tr>
        <w:tc>
          <w:tcPr/>
          <w:p>
            <w:pPr>
              <w:pStyle w:val="Compact"/>
            </w:pPr>
            <w:r>
              <w:rPr>
                <w:b/>
                <w:bCs/>
              </w:rPr>
              <w:t xml:space="preserve">Fields</w:t>
            </w:r>
          </w:p>
        </w:tc>
        <w:tc>
          <w:tcPr/>
          <w:p>
            <w:pPr>
              <w:pStyle w:val="Compact"/>
            </w:pPr>
            <w:r>
              <w:rPr>
                <w:rStyle w:val="VerbatimChar"/>
              </w:rPr>
              <w:t xml:space="preserve">raise1SecRrp</w:t>
            </w:r>
            <w:r>
              <w:t xml:space="preserve">,</w:t>
            </w:r>
            <w:r>
              <w:t xml:space="preserve"> </w:t>
            </w:r>
            <w:r>
              <w:rPr>
                <w:rStyle w:val="VerbatimChar"/>
              </w:rPr>
              <w:t xml:space="preserve">raise6SecRrp</w:t>
            </w:r>
            <w:r>
              <w:t xml:space="preserve">,</w:t>
            </w:r>
            <w:r>
              <w:t xml:space="preserve"> </w:t>
            </w:r>
            <w:r>
              <w:rPr>
                <w:rStyle w:val="VerbatimChar"/>
              </w:rPr>
              <w:t xml:space="preserve">raise60SecRrp</w:t>
            </w:r>
            <w:r>
              <w:t xml:space="preserve">,</w:t>
            </w:r>
            <w:r>
              <w:t xml:space="preserve"> </w:t>
            </w:r>
            <w:r>
              <w:rPr>
                <w:rStyle w:val="VerbatimChar"/>
              </w:rPr>
              <w:t xml:space="preserve">raise5MinRrp</w:t>
            </w:r>
            <w:r>
              <w:t xml:space="preserve">,</w:t>
            </w:r>
            <w:r>
              <w:t xml:space="preserve"> </w:t>
            </w:r>
            <w:r>
              <w:rPr>
                <w:rStyle w:val="VerbatimChar"/>
              </w:rPr>
              <w:t xml:space="preserve">raiseRegRrp</w:t>
            </w:r>
            <w:r>
              <w:t xml:space="preserve">,</w:t>
            </w:r>
            <w:r>
              <w:t xml:space="preserve"> </w:t>
            </w:r>
            <w:r>
              <w:rPr>
                <w:rStyle w:val="VerbatimChar"/>
              </w:rPr>
              <w:t xml:space="preserve">lower1SecRrp</w:t>
            </w:r>
            <w:r>
              <w:t xml:space="preserve">,</w:t>
            </w:r>
            <w:r>
              <w:t xml:space="preserve"> </w:t>
            </w:r>
            <w:r>
              <w:rPr>
                <w:rStyle w:val="VerbatimChar"/>
              </w:rPr>
              <w:t xml:space="preserve">lower6SecRrp</w:t>
            </w:r>
            <w:r>
              <w:t xml:space="preserve">,</w:t>
            </w:r>
            <w:r>
              <w:t xml:space="preserve"> </w:t>
            </w:r>
            <w:r>
              <w:rPr>
                <w:rStyle w:val="VerbatimChar"/>
              </w:rPr>
              <w:t xml:space="preserve">lower60SecRrp</w:t>
            </w:r>
            <w:r>
              <w:t xml:space="preserve">,</w:t>
            </w:r>
            <w:r>
              <w:t xml:space="preserve"> </w:t>
            </w:r>
            <w:r>
              <w:rPr>
                <w:rStyle w:val="VerbatimChar"/>
              </w:rPr>
              <w:t xml:space="preserve">lower5MinRrp</w:t>
            </w:r>
            <w:r>
              <w:t xml:space="preserve">,</w:t>
            </w:r>
            <w:r>
              <w:t xml:space="preserve"> </w:t>
            </w:r>
            <w:r>
              <w:rPr>
                <w:rStyle w:val="VerbatimChar"/>
              </w:rPr>
              <w:t xml:space="preserve">lowerRegRrp</w:t>
            </w:r>
          </w:p>
        </w:tc>
      </w:tr>
    </w:tbl>
    <w:p>
      <w:pPr>
        <w:pStyle w:val="CaptionedFigure"/>
      </w:pPr>
      <w:r>
        <w:drawing>
          <wp:inline>
            <wp:extent cx="5334000" cy="3576074"/>
            <wp:effectExtent b="0" l="0" r="0" t="0"/>
            <wp:docPr descr="FCAS Prices" title="" id="61" name="Picture"/>
            <a:graphic>
              <a:graphicData uri="http://schemas.openxmlformats.org/drawingml/2006/picture">
                <pic:pic>
                  <pic:nvPicPr>
                    <pic:cNvPr descr="screenshots/08-fcas-prices.png" id="62" name="Picture"/>
                    <pic:cNvPicPr>
                      <a:picLocks noChangeArrowheads="1" noChangeAspect="1"/>
                    </pic:cNvPicPr>
                  </pic:nvPicPr>
                  <pic:blipFill>
                    <a:blip r:embed="rId60"/>
                    <a:stretch>
                      <a:fillRect/>
                    </a:stretch>
                  </pic:blipFill>
                  <pic:spPr bwMode="auto">
                    <a:xfrm>
                      <a:off x="0" y="0"/>
                      <a:ext cx="5334000" cy="3576074"/>
                    </a:xfrm>
                    <a:prstGeom prst="rect">
                      <a:avLst/>
                    </a:prstGeom>
                    <a:noFill/>
                    <a:ln w="9525">
                      <a:noFill/>
                      <a:headEnd/>
                      <a:tailEnd/>
                    </a:ln>
                  </pic:spPr>
                </pic:pic>
              </a:graphicData>
            </a:graphic>
          </wp:inline>
        </w:drawing>
      </w:r>
    </w:p>
    <w:p>
      <w:pPr>
        <w:pStyle w:val="ImageCaption"/>
      </w:pPr>
      <w:r>
        <w:t xml:space="preserve">FCAS Prices</w:t>
      </w:r>
    </w:p>
    <w:p>
      <w:r>
        <w:pict>
          <v:rect style="width:0;height:1.5pt" o:hralign="center" o:hrstd="t" o:hr="t"/>
        </w:pict>
      </w:r>
    </w:p>
    <w:bookmarkEnd w:id="63"/>
    <w:bookmarkEnd w:id="64"/>
    <w:bookmarkStart w:id="69" w:name="net-interchange"/>
    <w:p>
      <w:pPr>
        <w:pStyle w:val="Heading2"/>
      </w:pPr>
      <w:r>
        <w:t xml:space="preserve">9. Net Interchange</w:t>
      </w:r>
    </w:p>
    <w:p>
      <w:pPr>
        <w:pStyle w:val="FirstParagraph"/>
      </w:pPr>
      <w:r>
        <w:t xml:space="preserve">Shows import/export flows between NEM regions over time. Positive values indicate a region is exporting power; negative values indicate importing. Also includes a</w:t>
      </w:r>
      <w:r>
        <w:t xml:space="preserve"> </w:t>
      </w:r>
      <w:r>
        <w:rPr>
          <w:b/>
          <w:bCs/>
        </w:rPr>
        <w:t xml:space="preserve">Gen Breakdown</w:t>
      </w:r>
      <w:r>
        <w:t xml:space="preserve"> </w:t>
      </w:r>
      <w:r>
        <w:t xml:space="preserve">toggle to view scheduled vs semi-scheduled generation.</w:t>
      </w:r>
    </w:p>
    <w:p>
      <w:pPr>
        <w:pStyle w:val="Compact"/>
        <w:numPr>
          <w:ilvl w:val="0"/>
          <w:numId w:val="1011"/>
        </w:numPr>
      </w:pPr>
      <w:r>
        <w:rPr>
          <w:b/>
          <w:bCs/>
        </w:rPr>
        <w:t xml:space="preserve">Bar chart</w:t>
      </w:r>
      <w:r>
        <w:t xml:space="preserve"> </w:t>
      </w:r>
      <w:r>
        <w:t xml:space="preserve">showing net interchange per region over time</w:t>
      </w:r>
    </w:p>
    <w:p>
      <w:pPr>
        <w:pStyle w:val="Compact"/>
        <w:numPr>
          <w:ilvl w:val="0"/>
          <w:numId w:val="1011"/>
        </w:numPr>
      </w:pPr>
      <w:r>
        <w:rPr>
          <w:b/>
          <w:bCs/>
        </w:rPr>
        <w:t xml:space="preserve">Colour coding</w:t>
      </w:r>
      <w:r>
        <w:t xml:space="preserve">: green = exporting, red = importing</w:t>
      </w:r>
    </w:p>
    <w:p>
      <w:pPr>
        <w:pStyle w:val="Compact"/>
        <w:numPr>
          <w:ilvl w:val="0"/>
          <w:numId w:val="1011"/>
        </w:numPr>
      </w:pPr>
      <w:r>
        <w:rPr>
          <w:b/>
          <w:bCs/>
        </w:rPr>
        <w:t xml:space="preserve">Region toggles</w:t>
      </w:r>
      <w:r>
        <w:t xml:space="preserve"> </w:t>
      </w:r>
      <w:r>
        <w:t xml:space="preserve">to filter which regions are displayed</w:t>
      </w:r>
    </w:p>
    <w:p>
      <w:pPr>
        <w:pStyle w:val="Compact"/>
        <w:numPr>
          <w:ilvl w:val="0"/>
          <w:numId w:val="1011"/>
        </w:numPr>
      </w:pPr>
      <w:r>
        <w:rPr>
          <w:b/>
          <w:bCs/>
        </w:rPr>
        <w:t xml:space="preserve">Gen Breakdown</w:t>
      </w:r>
      <w:r>
        <w:t xml:space="preserve"> </w:t>
      </w:r>
      <w:r>
        <w:t xml:space="preserve">mode shows stacked area of scheduled (dispatchable) vs semi-scheduled (wind/solar) generation</w:t>
      </w:r>
    </w:p>
    <w:bookmarkStart w:id="68" w:name="data-source-8"/>
    <w:p>
      <w:pPr>
        <w:pStyle w:val="Heading3"/>
      </w:pPr>
      <w:r>
        <w:t xml:space="preserve">Data Source</w:t>
      </w:r>
    </w:p>
    <w:tbl>
      <w:tblPr>
        <w:tblStyle w:val="Table"/>
        <w:tblW w:type="pct" w:w="5000"/>
        <w:tblLayout w:type="fixed"/>
        <w:tblLook w:firstRow="1" w:lastRow="0" w:firstColumn="0" w:lastColumn="0" w:noHBand="0" w:noVBand="0" w:val="0020"/>
      </w:tblPr>
      <w:tblGrid>
        <w:gridCol w:w="4224"/>
        <w:gridCol w:w="3696"/>
      </w:tblGrid>
      <w:tr>
        <w:trPr>
          <w:tblHeader w:val="on"/>
        </w:trPr>
        <w:tc>
          <w:tcPr/>
          <w:p>
            <w:pPr>
              <w:pStyle w:val="Compact"/>
            </w:pPr>
            <w:r>
              <w:t xml:space="preserve">Aspect</w:t>
            </w:r>
          </w:p>
        </w:tc>
        <w:tc>
          <w:tcPr/>
          <w:p>
            <w:pPr>
              <w:pStyle w:val="Compact"/>
            </w:pPr>
            <w:r>
              <w:t xml:space="preserve">Value</w:t>
            </w:r>
          </w:p>
        </w:tc>
      </w:tr>
      <w:tr>
        <w:tc>
          <w:tcPr/>
          <w:p>
            <w:pPr>
              <w:pStyle w:val="Compact"/>
            </w:pPr>
            <w:r>
              <w:rPr>
                <w:b/>
                <w:bCs/>
              </w:rPr>
              <w:t xml:space="preserve">Endpoint</w:t>
            </w:r>
          </w:p>
        </w:tc>
        <w:tc>
          <w:tcPr/>
          <w:p>
            <w:pPr>
              <w:pStyle w:val="Compact"/>
            </w:pPr>
            <w:r>
              <w:rPr>
                <w:rStyle w:val="VerbatimChar"/>
              </w:rPr>
              <w:t xml:space="preserve">/NEM/v1/PWS/NEMDashboard/priceAndDemand?timescale=30MIN</w:t>
            </w:r>
          </w:p>
        </w:tc>
      </w:tr>
      <w:tr>
        <w:tc>
          <w:tcPr/>
          <w:p>
            <w:pPr>
              <w:pStyle w:val="Compact"/>
            </w:pPr>
            <w:r>
              <w:rPr>
                <w:b/>
                <w:bCs/>
              </w:rPr>
              <w:t xml:space="preserve">Freshness</w:t>
            </w:r>
          </w:p>
        </w:tc>
        <w:tc>
          <w:tcPr/>
          <w:p>
            <w:pPr>
              <w:pStyle w:val="Compact"/>
            </w:pPr>
            <w:r>
              <w:t xml:space="preserve">4.5 minutes</w:t>
            </w:r>
          </w:p>
        </w:tc>
      </w:tr>
      <w:tr>
        <w:tc>
          <w:tcPr/>
          <w:p>
            <w:pPr>
              <w:pStyle w:val="Compact"/>
            </w:pPr>
            <w:r>
              <w:rPr>
                <w:b/>
                <w:bCs/>
              </w:rPr>
              <w:t xml:space="preserve">Market</w:t>
            </w:r>
          </w:p>
        </w:tc>
        <w:tc>
          <w:tcPr/>
          <w:p>
            <w:pPr>
              <w:pStyle w:val="Compact"/>
            </w:pPr>
            <w:r>
              <w:t xml:space="preserve">NEM only</w:t>
            </w:r>
          </w:p>
        </w:tc>
      </w:tr>
      <w:tr>
        <w:tc>
          <w:tcPr/>
          <w:p>
            <w:pPr>
              <w:pStyle w:val="Compact"/>
            </w:pPr>
            <w:r>
              <w:rPr>
                <w:b/>
                <w:bCs/>
              </w:rPr>
              <w:t xml:space="preserve">Fields</w:t>
            </w:r>
          </w:p>
        </w:tc>
        <w:tc>
          <w:tcPr/>
          <w:p>
            <w:pPr>
              <w:pStyle w:val="Compact"/>
            </w:pPr>
            <w:r>
              <w:rPr>
                <w:rStyle w:val="VerbatimChar"/>
              </w:rPr>
              <w:t xml:space="preserve">netInterchange</w:t>
            </w:r>
            <w:r>
              <w:t xml:space="preserve">,</w:t>
            </w:r>
            <w:r>
              <w:t xml:space="preserve"> </w:t>
            </w:r>
            <w:r>
              <w:rPr>
                <w:rStyle w:val="VerbatimChar"/>
              </w:rPr>
              <w:t xml:space="preserve">scheduledGeneration</w:t>
            </w:r>
            <w:r>
              <w:t xml:space="preserve">,</w:t>
            </w:r>
            <w:r>
              <w:t xml:space="preserve"> </w:t>
            </w:r>
            <w:r>
              <w:rPr>
                <w:rStyle w:val="VerbatimChar"/>
              </w:rPr>
              <w:t xml:space="preserve">semiScheduledGeneration</w:t>
            </w:r>
          </w:p>
        </w:tc>
      </w:tr>
    </w:tbl>
    <w:p>
      <w:pPr>
        <w:pStyle w:val="CaptionedFigure"/>
      </w:pPr>
      <w:r>
        <w:drawing>
          <wp:inline>
            <wp:extent cx="5334000" cy="3576074"/>
            <wp:effectExtent b="0" l="0" r="0" t="0"/>
            <wp:docPr descr="Net Interchange" title="" id="66" name="Picture"/>
            <a:graphic>
              <a:graphicData uri="http://schemas.openxmlformats.org/drawingml/2006/picture">
                <pic:pic>
                  <pic:nvPicPr>
                    <pic:cNvPr descr="screenshots/09-net-interchange.png" id="67" name="Picture"/>
                    <pic:cNvPicPr>
                      <a:picLocks noChangeArrowheads="1" noChangeAspect="1"/>
                    </pic:cNvPicPr>
                  </pic:nvPicPr>
                  <pic:blipFill>
                    <a:blip r:embed="rId65"/>
                    <a:stretch>
                      <a:fillRect/>
                    </a:stretch>
                  </pic:blipFill>
                  <pic:spPr bwMode="auto">
                    <a:xfrm>
                      <a:off x="0" y="0"/>
                      <a:ext cx="5334000" cy="3576074"/>
                    </a:xfrm>
                    <a:prstGeom prst="rect">
                      <a:avLst/>
                    </a:prstGeom>
                    <a:noFill/>
                    <a:ln w="9525">
                      <a:noFill/>
                      <a:headEnd/>
                      <a:tailEnd/>
                    </a:ln>
                  </pic:spPr>
                </pic:pic>
              </a:graphicData>
            </a:graphic>
          </wp:inline>
        </w:drawing>
      </w:r>
    </w:p>
    <w:p>
      <w:pPr>
        <w:pStyle w:val="ImageCaption"/>
      </w:pPr>
      <w:r>
        <w:t xml:space="preserve">Net Interchange</w:t>
      </w:r>
    </w:p>
    <w:p>
      <w:r>
        <w:pict>
          <v:rect style="width:0;height:1.5pt" o:hralign="center" o:hrstd="t" o:hr="t"/>
        </w:pict>
      </w:r>
    </w:p>
    <w:bookmarkEnd w:id="68"/>
    <w:bookmarkEnd w:id="69"/>
    <w:bookmarkStart w:id="74" w:name="wem-outages"/>
    <w:p>
      <w:pPr>
        <w:pStyle w:val="Heading2"/>
      </w:pPr>
      <w:r>
        <w:t xml:space="preserve">10. WEM Outages</w:t>
      </w:r>
    </w:p>
    <w:p>
      <w:pPr>
        <w:pStyle w:val="FirstParagraph"/>
      </w:pPr>
      <w:r>
        <w:t xml:space="preserve">Displays currently reported generation outages in the Western Australian Wholesale Electricity Market. When outages are active, they are listed with facility name, capacity affected, and outage type. When no outages are reported, a clear status message is shown.</w:t>
      </w:r>
    </w:p>
    <w:p>
      <w:pPr>
        <w:pStyle w:val="Compact"/>
        <w:numPr>
          <w:ilvl w:val="0"/>
          <w:numId w:val="1012"/>
        </w:numPr>
      </w:pPr>
      <w:r>
        <w:rPr>
          <w:b/>
          <w:bCs/>
        </w:rPr>
        <w:t xml:space="preserve">Outage list</w:t>
      </w:r>
      <w:r>
        <w:t xml:space="preserve"> </w:t>
      </w:r>
      <w:r>
        <w:t xml:space="preserve">with facility details and MW impact</w:t>
      </w:r>
    </w:p>
    <w:p>
      <w:pPr>
        <w:pStyle w:val="Compact"/>
        <w:numPr>
          <w:ilvl w:val="0"/>
          <w:numId w:val="1012"/>
        </w:numPr>
      </w:pPr>
      <w:r>
        <w:rPr>
          <w:b/>
          <w:bCs/>
        </w:rPr>
        <w:t xml:space="preserve">Total outage MW</w:t>
      </w:r>
      <w:r>
        <w:t xml:space="preserve"> </w:t>
      </w:r>
      <w:r>
        <w:t xml:space="preserve">summary card</w:t>
      </w:r>
    </w:p>
    <w:p>
      <w:pPr>
        <w:pStyle w:val="Compact"/>
        <w:numPr>
          <w:ilvl w:val="0"/>
          <w:numId w:val="1012"/>
        </w:numPr>
      </w:pPr>
      <w:r>
        <w:t xml:space="preserve">Sourced from the WEM outage CSV feed</w:t>
      </w:r>
    </w:p>
    <w:p>
      <w:pPr>
        <w:pStyle w:val="Compact"/>
        <w:numPr>
          <w:ilvl w:val="0"/>
          <w:numId w:val="1012"/>
        </w:numPr>
      </w:pPr>
      <w:r>
        <w:t xml:space="preserve">WEM-only page (NEM outage data uses a different reporting mechanism)</w:t>
      </w:r>
    </w:p>
    <w:bookmarkStart w:id="73" w:name="data-source-9"/>
    <w:p>
      <w:pPr>
        <w:pStyle w:val="Heading3"/>
      </w:pPr>
      <w:r>
        <w:t xml:space="preserve">Data Source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Value</w:t>
            </w:r>
          </w:p>
        </w:tc>
      </w:tr>
      <w:tr>
        <w:tc>
          <w:tcPr/>
          <w:p>
            <w:pPr>
              <w:pStyle w:val="Compact"/>
            </w:pPr>
            <w:r>
              <w:rPr>
                <w:b/>
                <w:bCs/>
              </w:rPr>
              <w:t xml:space="preserve">Endpoint</w:t>
            </w:r>
          </w:p>
        </w:tc>
        <w:tc>
          <w:tcPr/>
          <w:p>
            <w:pPr>
              <w:pStyle w:val="Compact"/>
            </w:pPr>
            <w:r>
              <w:rPr>
                <w:rStyle w:val="VerbatimChar"/>
              </w:rPr>
              <w:t xml:space="preserve">pulse.csv</w:t>
            </w:r>
            <w:r>
              <w:t xml:space="preserve"> </w:t>
            </w:r>
            <w:r>
              <w:t xml:space="preserve">(outage columns)</w:t>
            </w:r>
          </w:p>
        </w:tc>
      </w:tr>
      <w:tr>
        <w:tc>
          <w:tcPr/>
          <w:p>
            <w:pPr>
              <w:pStyle w:val="Compact"/>
            </w:pPr>
            <w:r>
              <w:rPr>
                <w:b/>
                <w:bCs/>
              </w:rPr>
              <w:t xml:space="preserve">Base URL</w:t>
            </w:r>
          </w:p>
        </w:tc>
        <w:tc>
          <w:tcPr/>
          <w:p>
            <w:pPr>
              <w:pStyle w:val="Compact"/>
            </w:pPr>
            <w:r>
              <w:rPr>
                <w:rStyle w:val="VerbatimChar"/>
              </w:rPr>
              <w:t xml:space="preserve">data.wa.aemo.com.au</w:t>
            </w:r>
          </w:p>
        </w:tc>
      </w:tr>
      <w:tr>
        <w:tc>
          <w:tcPr/>
          <w:p>
            <w:pPr>
              <w:pStyle w:val="Compact"/>
            </w:pPr>
            <w:r>
              <w:rPr>
                <w:b/>
                <w:bCs/>
              </w:rPr>
              <w:t xml:space="preserve">Freshness</w:t>
            </w:r>
          </w:p>
        </w:tc>
        <w:tc>
          <w:tcPr/>
          <w:p>
            <w:pPr>
              <w:pStyle w:val="Compact"/>
            </w:pPr>
            <w:r>
              <w:t xml:space="preserve">25 minutes</w:t>
            </w:r>
          </w:p>
        </w:tc>
      </w:tr>
      <w:tr>
        <w:tc>
          <w:tcPr/>
          <w:p>
            <w:pPr>
              <w:pStyle w:val="Compact"/>
            </w:pPr>
            <w:r>
              <w:rPr>
                <w:b/>
                <w:bCs/>
              </w:rPr>
              <w:t xml:space="preserve">Market</w:t>
            </w:r>
          </w:p>
        </w:tc>
        <w:tc>
          <w:tcPr/>
          <w:p>
            <w:pPr>
              <w:pStyle w:val="Compact"/>
            </w:pPr>
            <w:r>
              <w:t xml:space="preserve">WEM only</w:t>
            </w:r>
          </w:p>
        </w:tc>
      </w:tr>
      <w:tr>
        <w:tc>
          <w:tcPr/>
          <w:p>
            <w:pPr>
              <w:pStyle w:val="Compact"/>
            </w:pPr>
            <w:r>
              <w:rPr>
                <w:b/>
                <w:bCs/>
              </w:rPr>
              <w:t xml:space="preserve">Fields</w:t>
            </w:r>
          </w:p>
        </w:tc>
        <w:tc>
          <w:tcPr/>
          <w:p>
            <w:pPr>
              <w:pStyle w:val="Compact"/>
            </w:pPr>
            <w:r>
              <w:rPr>
                <w:rStyle w:val="VerbatimChar"/>
              </w:rPr>
              <w:t xml:space="preserve">OUTAGE_GEN_MW</w:t>
            </w:r>
            <w:r>
              <w:t xml:space="preserve">, facility outage flags</w:t>
            </w:r>
          </w:p>
        </w:tc>
      </w:tr>
    </w:tbl>
    <w:p>
      <w:pPr>
        <w:pStyle w:val="CaptionedFigure"/>
      </w:pPr>
      <w:r>
        <w:drawing>
          <wp:inline>
            <wp:extent cx="5334000" cy="3455910"/>
            <wp:effectExtent b="0" l="0" r="0" t="0"/>
            <wp:docPr descr="WEM Outages" title="" id="71" name="Picture"/>
            <a:graphic>
              <a:graphicData uri="http://schemas.openxmlformats.org/drawingml/2006/picture">
                <pic:pic>
                  <pic:nvPicPr>
                    <pic:cNvPr descr="screenshots/10-wem-outages.png" id="72" name="Picture"/>
                    <pic:cNvPicPr>
                      <a:picLocks noChangeArrowheads="1" noChangeAspect="1"/>
                    </pic:cNvPicPr>
                  </pic:nvPicPr>
                  <pic:blipFill>
                    <a:blip r:embed="rId70"/>
                    <a:stretch>
                      <a:fillRect/>
                    </a:stretch>
                  </pic:blipFill>
                  <pic:spPr bwMode="auto">
                    <a:xfrm>
                      <a:off x="0" y="0"/>
                      <a:ext cx="5334000" cy="3455910"/>
                    </a:xfrm>
                    <a:prstGeom prst="rect">
                      <a:avLst/>
                    </a:prstGeom>
                    <a:noFill/>
                    <a:ln w="9525">
                      <a:noFill/>
                      <a:headEnd/>
                      <a:tailEnd/>
                    </a:ln>
                  </pic:spPr>
                </pic:pic>
              </a:graphicData>
            </a:graphic>
          </wp:inline>
        </w:drawing>
      </w:r>
    </w:p>
    <w:p>
      <w:pPr>
        <w:pStyle w:val="ImageCaption"/>
      </w:pPr>
      <w:r>
        <w:t xml:space="preserve">WEM Outages</w:t>
      </w:r>
    </w:p>
    <w:p>
      <w:r>
        <w:pict>
          <v:rect style="width:0;height:1.5pt" o:hralign="center" o:hrstd="t" o:hr="t"/>
        </w:pict>
      </w:r>
    </w:p>
    <w:bookmarkEnd w:id="73"/>
    <w:bookmarkEnd w:id="74"/>
    <w:bookmarkStart w:id="79" w:name="wem-energy-price"/>
    <w:p>
      <w:pPr>
        <w:pStyle w:val="Heading2"/>
      </w:pPr>
      <w:r>
        <w:t xml:space="preserve">11. WEM Energy Price</w:t>
      </w:r>
    </w:p>
    <w:p>
      <w:pPr>
        <w:pStyle w:val="BlockText"/>
      </w:pPr>
      <w:r>
        <w:rPr>
          <w:b/>
          <w:bCs/>
        </w:rPr>
        <w:t xml:space="preserve">Note:</w:t>
      </w:r>
      <w:r>
        <w:t xml:space="preserve"> </w:t>
      </w:r>
      <w:r>
        <w:t xml:space="preserve">This page overlaps with Price and Demand when WA is selected. Retained for direct WEM-focused access.</w:t>
      </w:r>
    </w:p>
    <w:p>
      <w:pPr>
        <w:pStyle w:val="FirstParagraph"/>
      </w:pPr>
      <w:r>
        <w:t xml:space="preserve">A simple time-series chart showing the WEM energy price over the rolling ~4-day window from the pulse feed. The current spot price KPI is displayed above the chart.</w:t>
      </w:r>
    </w:p>
    <w:bookmarkStart w:id="78" w:name="data-source-10"/>
    <w:p>
      <w:pPr>
        <w:pStyle w:val="Heading3"/>
      </w:pPr>
      <w:r>
        <w:t xml:space="preserve">Data Source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Value</w:t>
            </w:r>
          </w:p>
        </w:tc>
      </w:tr>
      <w:tr>
        <w:tc>
          <w:tcPr/>
          <w:p>
            <w:pPr>
              <w:pStyle w:val="Compact"/>
            </w:pPr>
            <w:r>
              <w:rPr>
                <w:b/>
                <w:bCs/>
              </w:rPr>
              <w:t xml:space="preserve">Endpoint</w:t>
            </w:r>
          </w:p>
        </w:tc>
        <w:tc>
          <w:tcPr/>
          <w:p>
            <w:pPr>
              <w:pStyle w:val="Compact"/>
            </w:pPr>
            <w:r>
              <w:rPr>
                <w:rStyle w:val="VerbatimChar"/>
              </w:rPr>
              <w:t xml:space="preserve">pulse.csv</w:t>
            </w:r>
          </w:p>
        </w:tc>
      </w:tr>
      <w:tr>
        <w:tc>
          <w:tcPr/>
          <w:p>
            <w:pPr>
              <w:pStyle w:val="Compact"/>
            </w:pPr>
            <w:r>
              <w:rPr>
                <w:b/>
                <w:bCs/>
              </w:rPr>
              <w:t xml:space="preserve">Base URL</w:t>
            </w:r>
          </w:p>
        </w:tc>
        <w:tc>
          <w:tcPr/>
          <w:p>
            <w:pPr>
              <w:pStyle w:val="Compact"/>
            </w:pPr>
            <w:r>
              <w:rPr>
                <w:rStyle w:val="VerbatimChar"/>
              </w:rPr>
              <w:t xml:space="preserve">data.wa.aemo.com.au</w:t>
            </w:r>
          </w:p>
        </w:tc>
      </w:tr>
      <w:tr>
        <w:tc>
          <w:tcPr/>
          <w:p>
            <w:pPr>
              <w:pStyle w:val="Compact"/>
            </w:pPr>
            <w:r>
              <w:rPr>
                <w:b/>
                <w:bCs/>
              </w:rPr>
              <w:t xml:space="preserve">Freshness</w:t>
            </w:r>
          </w:p>
        </w:tc>
        <w:tc>
          <w:tcPr/>
          <w:p>
            <w:pPr>
              <w:pStyle w:val="Compact"/>
            </w:pPr>
            <w:r>
              <w:t xml:space="preserve">25 minutes</w:t>
            </w:r>
          </w:p>
        </w:tc>
      </w:tr>
      <w:tr>
        <w:tc>
          <w:tcPr/>
          <w:p>
            <w:pPr>
              <w:pStyle w:val="Compact"/>
            </w:pPr>
            <w:r>
              <w:rPr>
                <w:b/>
                <w:bCs/>
              </w:rPr>
              <w:t xml:space="preserve">Market</w:t>
            </w:r>
          </w:p>
        </w:tc>
        <w:tc>
          <w:tcPr/>
          <w:p>
            <w:pPr>
              <w:pStyle w:val="Compact"/>
            </w:pPr>
            <w:r>
              <w:t xml:space="preserve">WEM only</w:t>
            </w:r>
          </w:p>
        </w:tc>
      </w:tr>
      <w:tr>
        <w:tc>
          <w:tcPr/>
          <w:p>
            <w:pPr>
              <w:pStyle w:val="Compact"/>
            </w:pPr>
            <w:r>
              <w:rPr>
                <w:b/>
                <w:bCs/>
              </w:rPr>
              <w:t xml:space="preserve">Fields</w:t>
            </w:r>
          </w:p>
        </w:tc>
        <w:tc>
          <w:tcPr/>
          <w:p>
            <w:pPr>
              <w:pStyle w:val="Compact"/>
            </w:pPr>
            <w:r>
              <w:rPr>
                <w:rStyle w:val="VerbatimChar"/>
              </w:rPr>
              <w:t xml:space="preserve">TRADING_DAY_INTERVAL</w:t>
            </w:r>
            <w:r>
              <w:t xml:space="preserve">,</w:t>
            </w:r>
            <w:r>
              <w:t xml:space="preserve"> </w:t>
            </w:r>
            <w:r>
              <w:rPr>
                <w:rStyle w:val="VerbatimChar"/>
              </w:rPr>
              <w:t xml:space="preserve">ENERGY_PRICE</w:t>
            </w:r>
          </w:p>
        </w:tc>
      </w:tr>
    </w:tbl>
    <w:p>
      <w:pPr>
        <w:pStyle w:val="CaptionedFigure"/>
      </w:pPr>
      <w:r>
        <w:drawing>
          <wp:inline>
            <wp:extent cx="5334000" cy="3802625"/>
            <wp:effectExtent b="0" l="0" r="0" t="0"/>
            <wp:docPr descr="WEM Energy Price" title="" id="76" name="Picture"/>
            <a:graphic>
              <a:graphicData uri="http://schemas.openxmlformats.org/drawingml/2006/picture">
                <pic:pic>
                  <pic:nvPicPr>
                    <pic:cNvPr descr="screenshots/11-wem-energy-price.png" id="77" name="Picture"/>
                    <pic:cNvPicPr>
                      <a:picLocks noChangeArrowheads="1" noChangeAspect="1"/>
                    </pic:cNvPicPr>
                  </pic:nvPicPr>
                  <pic:blipFill>
                    <a:blip r:embed="rId75"/>
                    <a:stretch>
                      <a:fillRect/>
                    </a:stretch>
                  </pic:blipFill>
                  <pic:spPr bwMode="auto">
                    <a:xfrm>
                      <a:off x="0" y="0"/>
                      <a:ext cx="5334000" cy="3802625"/>
                    </a:xfrm>
                    <a:prstGeom prst="rect">
                      <a:avLst/>
                    </a:prstGeom>
                    <a:noFill/>
                    <a:ln w="9525">
                      <a:noFill/>
                      <a:headEnd/>
                      <a:tailEnd/>
                    </a:ln>
                  </pic:spPr>
                </pic:pic>
              </a:graphicData>
            </a:graphic>
          </wp:inline>
        </w:drawing>
      </w:r>
    </w:p>
    <w:p>
      <w:pPr>
        <w:pStyle w:val="ImageCaption"/>
      </w:pPr>
      <w:r>
        <w:t xml:space="preserve">WEM Energy Price</w:t>
      </w:r>
    </w:p>
    <w:p>
      <w:r>
        <w:pict>
          <v:rect style="width:0;height:1.5pt" o:hralign="center" o:hrstd="t" o:hr="t"/>
        </w:pict>
      </w:r>
    </w:p>
    <w:bookmarkEnd w:id="78"/>
    <w:bookmarkEnd w:id="79"/>
    <w:bookmarkStart w:id="84" w:name="dpv-vs-demand"/>
    <w:p>
      <w:pPr>
        <w:pStyle w:val="Heading2"/>
      </w:pPr>
      <w:r>
        <w:t xml:space="preserve">12. DPV vs Demand</w:t>
      </w:r>
    </w:p>
    <w:p>
      <w:pPr>
        <w:pStyle w:val="FirstParagraph"/>
      </w:pPr>
      <w:r>
        <w:t xml:space="preserve">A dual-axis chart specific to Western Australia, showing the relationship between grid operational demand and distributed photovoltaic (rooftop solar) generation. This is particularly important in WA where rooftop solar penetration is among the highest in the world and significantly impacts grid operations.</w:t>
      </w:r>
    </w:p>
    <w:p>
      <w:pPr>
        <w:pStyle w:val="Compact"/>
        <w:numPr>
          <w:ilvl w:val="0"/>
          <w:numId w:val="1013"/>
        </w:numPr>
      </w:pPr>
      <w:r>
        <w:rPr>
          <w:b/>
          <w:bCs/>
        </w:rPr>
        <w:t xml:space="preserve">Operational Demand</w:t>
      </w:r>
      <w:r>
        <w:t xml:space="preserve"> </w:t>
      </w:r>
      <w:r>
        <w:t xml:space="preserve">(MW, left axis) — total grid demand</w:t>
      </w:r>
    </w:p>
    <w:p>
      <w:pPr>
        <w:pStyle w:val="Compact"/>
        <w:numPr>
          <w:ilvl w:val="0"/>
          <w:numId w:val="1013"/>
        </w:numPr>
      </w:pPr>
      <w:r>
        <w:rPr>
          <w:b/>
          <w:bCs/>
        </w:rPr>
        <w:t xml:space="preserve">Distributed PV</w:t>
      </w:r>
      <w:r>
        <w:t xml:space="preserve"> </w:t>
      </w:r>
      <w:r>
        <w:t xml:space="preserve">(MW, right axis) — estimated rooftop solar output</w:t>
      </w:r>
    </w:p>
    <w:p>
      <w:pPr>
        <w:pStyle w:val="Compact"/>
        <w:numPr>
          <w:ilvl w:val="0"/>
          <w:numId w:val="1013"/>
        </w:numPr>
      </w:pPr>
      <w:r>
        <w:rPr>
          <w:b/>
          <w:bCs/>
        </w:rPr>
        <w:t xml:space="preserve">KPI row</w:t>
      </w:r>
      <w:r>
        <w:t xml:space="preserve"> </w:t>
      </w:r>
      <w:r>
        <w:t xml:space="preserve">— current demand, current DPV, peak DPV, and minimum demand</w:t>
      </w:r>
    </w:p>
    <w:p>
      <w:pPr>
        <w:pStyle w:val="Compact"/>
        <w:numPr>
          <w:ilvl w:val="0"/>
          <w:numId w:val="1013"/>
        </w:numPr>
      </w:pPr>
      <w:r>
        <w:t xml:space="preserve">The inverse relationship between DPV and demand is clearly visible: as solar output rises during the day, net demand drops</w:t>
      </w:r>
    </w:p>
    <w:p>
      <w:pPr>
        <w:pStyle w:val="Compact"/>
        <w:numPr>
          <w:ilvl w:val="0"/>
          <w:numId w:val="1013"/>
        </w:numPr>
      </w:pPr>
      <w:r>
        <w:t xml:space="preserve">WEM-only page sourced from the DPV/operational demand CSV feed</w:t>
      </w:r>
    </w:p>
    <w:bookmarkStart w:id="83" w:name="data-source-11"/>
    <w:p>
      <w:pPr>
        <w:pStyle w:val="Heading3"/>
      </w:pPr>
      <w:r>
        <w:t xml:space="preserve">Data Source</w:t>
      </w:r>
    </w:p>
    <w:tbl>
      <w:tblPr>
        <w:tblStyle w:val="Table"/>
        <w:tblW w:type="pct" w:w="5000"/>
        <w:tblLayout w:type="fixed"/>
        <w:tblLook w:firstRow="1" w:lastRow="0" w:firstColumn="0" w:lastColumn="0" w:noHBand="0" w:noVBand="0" w:val="0020"/>
      </w:tblPr>
      <w:tblGrid>
        <w:gridCol w:w="4224"/>
        <w:gridCol w:w="3696"/>
      </w:tblGrid>
      <w:tr>
        <w:trPr>
          <w:tblHeader w:val="on"/>
        </w:trPr>
        <w:tc>
          <w:tcPr/>
          <w:p>
            <w:pPr>
              <w:pStyle w:val="Compact"/>
            </w:pPr>
            <w:r>
              <w:t xml:space="preserve">Aspect</w:t>
            </w:r>
          </w:p>
        </w:tc>
        <w:tc>
          <w:tcPr/>
          <w:p>
            <w:pPr>
              <w:pStyle w:val="Compact"/>
            </w:pPr>
            <w:r>
              <w:t xml:space="preserve">Value</w:t>
            </w:r>
          </w:p>
        </w:tc>
      </w:tr>
      <w:tr>
        <w:tc>
          <w:tcPr/>
          <w:p>
            <w:pPr>
              <w:pStyle w:val="Compact"/>
            </w:pPr>
            <w:r>
              <w:rPr>
                <w:b/>
                <w:bCs/>
              </w:rPr>
              <w:t xml:space="preserve">Endpoint</w:t>
            </w:r>
          </w:p>
        </w:tc>
        <w:tc>
          <w:tcPr/>
          <w:p>
            <w:pPr>
              <w:pStyle w:val="Compact"/>
            </w:pPr>
            <w:r>
              <w:rPr>
                <w:rStyle w:val="VerbatimChar"/>
              </w:rPr>
              <w:t xml:space="preserve">distributed-pv_opdemand.csv</w:t>
            </w:r>
          </w:p>
        </w:tc>
      </w:tr>
      <w:tr>
        <w:tc>
          <w:tcPr/>
          <w:p>
            <w:pPr>
              <w:pStyle w:val="Compact"/>
            </w:pPr>
            <w:r>
              <w:rPr>
                <w:b/>
                <w:bCs/>
              </w:rPr>
              <w:t xml:space="preserve">Base URL</w:t>
            </w:r>
          </w:p>
        </w:tc>
        <w:tc>
          <w:tcPr/>
          <w:p>
            <w:pPr>
              <w:pStyle w:val="Compact"/>
            </w:pPr>
            <w:r>
              <w:rPr>
                <w:rStyle w:val="VerbatimChar"/>
              </w:rPr>
              <w:t xml:space="preserve">data.wa.aemo.com.au/public/infographic/dpvopdemand/</w:t>
            </w:r>
          </w:p>
        </w:tc>
      </w:tr>
      <w:tr>
        <w:tc>
          <w:tcPr/>
          <w:p>
            <w:pPr>
              <w:pStyle w:val="Compact"/>
            </w:pPr>
            <w:r>
              <w:rPr>
                <w:b/>
                <w:bCs/>
              </w:rPr>
              <w:t xml:space="preserve">Freshness</w:t>
            </w:r>
          </w:p>
        </w:tc>
        <w:tc>
          <w:tcPr/>
          <w:p>
            <w:pPr>
              <w:pStyle w:val="Compact"/>
            </w:pPr>
            <w:r>
              <w:t xml:space="preserve">25 minutes</w:t>
            </w:r>
          </w:p>
        </w:tc>
      </w:tr>
      <w:tr>
        <w:tc>
          <w:tcPr/>
          <w:p>
            <w:pPr>
              <w:pStyle w:val="Compact"/>
            </w:pPr>
            <w:r>
              <w:rPr>
                <w:b/>
                <w:bCs/>
              </w:rPr>
              <w:t xml:space="preserve">Market</w:t>
            </w:r>
          </w:p>
        </w:tc>
        <w:tc>
          <w:tcPr/>
          <w:p>
            <w:pPr>
              <w:pStyle w:val="Compact"/>
            </w:pPr>
            <w:r>
              <w:t xml:space="preserve">WEM only</w:t>
            </w:r>
          </w:p>
        </w:tc>
      </w:tr>
      <w:tr>
        <w:tc>
          <w:tcPr/>
          <w:p>
            <w:pPr>
              <w:pStyle w:val="Compact"/>
            </w:pPr>
            <w:r>
              <w:rPr>
                <w:b/>
                <w:bCs/>
              </w:rPr>
              <w:t xml:space="preserve">Fields</w:t>
            </w:r>
          </w:p>
        </w:tc>
        <w:tc>
          <w:tcPr/>
          <w:p>
            <w:pPr>
              <w:pStyle w:val="Compact"/>
            </w:pPr>
            <w:r>
              <w:rPr>
                <w:rStyle w:val="VerbatimChar"/>
              </w:rPr>
              <w:t xml:space="preserve">TRADING_INTERVAL</w:t>
            </w:r>
            <w:r>
              <w:t xml:space="preserve">,</w:t>
            </w:r>
            <w:r>
              <w:t xml:space="preserve"> </w:t>
            </w:r>
            <w:r>
              <w:rPr>
                <w:rStyle w:val="VerbatimChar"/>
              </w:rPr>
              <w:t xml:space="preserve">OPERATIONAL_DEMAND_MW</w:t>
            </w:r>
            <w:r>
              <w:t xml:space="preserve">,</w:t>
            </w:r>
            <w:r>
              <w:t xml:space="preserve"> </w:t>
            </w:r>
            <w:r>
              <w:rPr>
                <w:rStyle w:val="VerbatimChar"/>
              </w:rPr>
              <w:t xml:space="preserve">ESTIMATED_DPV_MW</w:t>
            </w:r>
          </w:p>
        </w:tc>
      </w:tr>
    </w:tbl>
    <w:p>
      <w:pPr>
        <w:pStyle w:val="CaptionedFigure"/>
      </w:pPr>
      <w:r>
        <w:drawing>
          <wp:inline>
            <wp:extent cx="5334000" cy="3576074"/>
            <wp:effectExtent b="0" l="0" r="0" t="0"/>
            <wp:docPr descr="DPV vs Demand" title="" id="81" name="Picture"/>
            <a:graphic>
              <a:graphicData uri="http://schemas.openxmlformats.org/drawingml/2006/picture">
                <pic:pic>
                  <pic:nvPicPr>
                    <pic:cNvPr descr="screenshots/12-dpv-vs-demand.png" id="82" name="Picture"/>
                    <pic:cNvPicPr>
                      <a:picLocks noChangeArrowheads="1" noChangeAspect="1"/>
                    </pic:cNvPicPr>
                  </pic:nvPicPr>
                  <pic:blipFill>
                    <a:blip r:embed="rId80"/>
                    <a:stretch>
                      <a:fillRect/>
                    </a:stretch>
                  </pic:blipFill>
                  <pic:spPr bwMode="auto">
                    <a:xfrm>
                      <a:off x="0" y="0"/>
                      <a:ext cx="5334000" cy="3576074"/>
                    </a:xfrm>
                    <a:prstGeom prst="rect">
                      <a:avLst/>
                    </a:prstGeom>
                    <a:noFill/>
                    <a:ln w="9525">
                      <a:noFill/>
                      <a:headEnd/>
                      <a:tailEnd/>
                    </a:ln>
                  </pic:spPr>
                </pic:pic>
              </a:graphicData>
            </a:graphic>
          </wp:inline>
        </w:drawing>
      </w:r>
    </w:p>
    <w:p>
      <w:pPr>
        <w:pStyle w:val="ImageCaption"/>
      </w:pPr>
      <w:r>
        <w:t xml:space="preserve">DPV vs Demand</w:t>
      </w:r>
    </w:p>
    <w:p>
      <w:r>
        <w:pict>
          <v:rect style="width:0;height:1.5pt" o:hralign="center" o:hrstd="t" o:hr="t"/>
        </w:pict>
      </w:r>
    </w:p>
    <w:bookmarkEnd w:id="83"/>
    <w:bookmarkEnd w:id="84"/>
    <w:bookmarkStart w:id="89" w:name="wa-dispatch"/>
    <w:p>
      <w:pPr>
        <w:pStyle w:val="Heading2"/>
      </w:pPr>
      <w:r>
        <w:t xml:space="preserve">13. WA Dispatch</w:t>
      </w:r>
    </w:p>
    <w:p>
      <w:pPr>
        <w:pStyle w:val="FirstParagraph"/>
      </w:pPr>
      <w:r>
        <w:t xml:space="preserve">A stacked area chart showing WA generation by fuel type over 2 days (96 × 30-minute intervals), with a price line overlay. This provides a detailed view of Western Australia’s generation mix and how it correlates with price movements.</w:t>
      </w:r>
    </w:p>
    <w:p>
      <w:pPr>
        <w:pStyle w:val="Compact"/>
        <w:numPr>
          <w:ilvl w:val="0"/>
          <w:numId w:val="1014"/>
        </w:numPr>
      </w:pPr>
      <w:r>
        <w:rPr>
          <w:b/>
          <w:bCs/>
        </w:rPr>
        <w:t xml:space="preserve">Stacked area</w:t>
      </w:r>
      <w:r>
        <w:t xml:space="preserve"> </w:t>
      </w:r>
      <w:r>
        <w:t xml:space="preserve">by fuel type (Gas, Coal, Wind, Solar, Battery, etc.)</w:t>
      </w:r>
    </w:p>
    <w:p>
      <w:pPr>
        <w:pStyle w:val="Compact"/>
        <w:numPr>
          <w:ilvl w:val="0"/>
          <w:numId w:val="1014"/>
        </w:numPr>
      </w:pPr>
      <w:r>
        <w:rPr>
          <w:b/>
          <w:bCs/>
        </w:rPr>
        <w:t xml:space="preserve">Price overlay</w:t>
      </w:r>
      <w:r>
        <w:t xml:space="preserve"> </w:t>
      </w:r>
      <w:r>
        <w:t xml:space="preserve">(red line, right axis) shows energy price trajectory</w:t>
      </w:r>
    </w:p>
    <w:p>
      <w:pPr>
        <w:pStyle w:val="Compact"/>
        <w:numPr>
          <w:ilvl w:val="0"/>
          <w:numId w:val="1014"/>
        </w:numPr>
      </w:pPr>
      <w:r>
        <w:rPr>
          <w:b/>
          <w:bCs/>
        </w:rPr>
        <w:t xml:space="preserve">KPI row</w:t>
      </w:r>
      <w:r>
        <w:t xml:space="preserve"> </w:t>
      </w:r>
      <w:r>
        <w:t xml:space="preserve">— current generation, current price, peak generation, capacity utilization</w:t>
      </w:r>
    </w:p>
    <w:p>
      <w:pPr>
        <w:pStyle w:val="Compact"/>
        <w:numPr>
          <w:ilvl w:val="0"/>
          <w:numId w:val="1014"/>
        </w:numPr>
      </w:pPr>
      <w:r>
        <w:t xml:space="preserve">Fuels ordered by standard hierarchy: Coal → Gas → Hydro → Wind → Solar → Battery → Biomass</w:t>
      </w:r>
    </w:p>
    <w:bookmarkStart w:id="88" w:name="data-source-12"/>
    <w:p>
      <w:pPr>
        <w:pStyle w:val="Heading3"/>
      </w:pPr>
      <w:r>
        <w:t xml:space="preserve">Data Source</w:t>
      </w:r>
    </w:p>
    <w:tbl>
      <w:tblPr>
        <w:tblStyle w:val="Table"/>
        <w:tblW w:type="pct" w:w="5000"/>
        <w:tblLayout w:type="fixed"/>
        <w:tblLook w:firstRow="1" w:lastRow="0" w:firstColumn="0" w:lastColumn="0" w:noHBand="0" w:noVBand="0" w:val="0020"/>
      </w:tblPr>
      <w:tblGrid>
        <w:gridCol w:w="4224"/>
        <w:gridCol w:w="3696"/>
      </w:tblGrid>
      <w:tr>
        <w:trPr>
          <w:tblHeader w:val="on"/>
        </w:trPr>
        <w:tc>
          <w:tcPr/>
          <w:p>
            <w:pPr>
              <w:pStyle w:val="Compact"/>
            </w:pPr>
            <w:r>
              <w:t xml:space="preserve">Aspect</w:t>
            </w:r>
          </w:p>
        </w:tc>
        <w:tc>
          <w:tcPr/>
          <w:p>
            <w:pPr>
              <w:pStyle w:val="Compact"/>
            </w:pPr>
            <w:r>
              <w:t xml:space="preserve">Value</w:t>
            </w:r>
          </w:p>
        </w:tc>
      </w:tr>
      <w:tr>
        <w:tc>
          <w:tcPr/>
          <w:p>
            <w:pPr>
              <w:pStyle w:val="Compact"/>
            </w:pPr>
            <w:r>
              <w:rPr>
                <w:b/>
                <w:bCs/>
              </w:rPr>
              <w:t xml:space="preserve">Generation endpoint</w:t>
            </w:r>
          </w:p>
        </w:tc>
        <w:tc>
          <w:tcPr/>
          <w:p>
            <w:pPr>
              <w:pStyle w:val="Compact"/>
            </w:pPr>
            <w:r>
              <w:rPr>
                <w:rStyle w:val="VerbatimChar"/>
              </w:rPr>
              <w:t xml:space="preserve">generation.csv</w:t>
            </w:r>
          </w:p>
        </w:tc>
      </w:tr>
      <w:tr>
        <w:tc>
          <w:tcPr/>
          <w:p>
            <w:pPr>
              <w:pStyle w:val="Compact"/>
            </w:pPr>
            <w:r>
              <w:rPr>
                <w:b/>
                <w:bCs/>
              </w:rPr>
              <w:t xml:space="preserve">Metadata endpoint</w:t>
            </w:r>
          </w:p>
        </w:tc>
        <w:tc>
          <w:tcPr/>
          <w:p>
            <w:pPr>
              <w:pStyle w:val="Compact"/>
            </w:pPr>
            <w:r>
              <w:rPr>
                <w:rStyle w:val="VerbatimChar"/>
              </w:rPr>
              <w:t xml:space="preserve">facility-meta-fuelmix.csv</w:t>
            </w:r>
          </w:p>
        </w:tc>
      </w:tr>
      <w:tr>
        <w:tc>
          <w:tcPr/>
          <w:p>
            <w:pPr>
              <w:pStyle w:val="Compact"/>
            </w:pPr>
            <w:r>
              <w:rPr>
                <w:b/>
                <w:bCs/>
              </w:rPr>
              <w:t xml:space="preserve">Price endpoint</w:t>
            </w:r>
          </w:p>
        </w:tc>
        <w:tc>
          <w:tcPr/>
          <w:p>
            <w:pPr>
              <w:pStyle w:val="Compact"/>
            </w:pPr>
            <w:r>
              <w:rPr>
                <w:rStyle w:val="VerbatimChar"/>
              </w:rPr>
              <w:t xml:space="preserve">pulse.csv</w:t>
            </w:r>
          </w:p>
        </w:tc>
      </w:tr>
      <w:tr>
        <w:tc>
          <w:tcPr/>
          <w:p>
            <w:pPr>
              <w:pStyle w:val="Compact"/>
            </w:pPr>
            <w:r>
              <w:rPr>
                <w:b/>
                <w:bCs/>
              </w:rPr>
              <w:t xml:space="preserve">Base URL</w:t>
            </w:r>
          </w:p>
        </w:tc>
        <w:tc>
          <w:tcPr/>
          <w:p>
            <w:pPr>
              <w:pStyle w:val="Compact"/>
            </w:pPr>
            <w:r>
              <w:rPr>
                <w:rStyle w:val="VerbatimChar"/>
              </w:rPr>
              <w:t xml:space="preserve">data.wa.aemo.com.au</w:t>
            </w:r>
          </w:p>
        </w:tc>
      </w:tr>
      <w:tr>
        <w:tc>
          <w:tcPr/>
          <w:p>
            <w:pPr>
              <w:pStyle w:val="Compact"/>
            </w:pPr>
            <w:r>
              <w:rPr>
                <w:b/>
                <w:bCs/>
              </w:rPr>
              <w:t xml:space="preserve">Freshness</w:t>
            </w:r>
          </w:p>
        </w:tc>
        <w:tc>
          <w:tcPr/>
          <w:p>
            <w:pPr>
              <w:pStyle w:val="Compact"/>
            </w:pPr>
            <w:r>
              <w:t xml:space="preserve">Generation: 55 min, Pulse: 25 min, Metadata: 1 hour</w:t>
            </w:r>
          </w:p>
        </w:tc>
      </w:tr>
      <w:tr>
        <w:tc>
          <w:tcPr/>
          <w:p>
            <w:pPr>
              <w:pStyle w:val="Compact"/>
            </w:pPr>
            <w:r>
              <w:rPr>
                <w:b/>
                <w:bCs/>
              </w:rPr>
              <w:t xml:space="preserve">Market</w:t>
            </w:r>
          </w:p>
        </w:tc>
        <w:tc>
          <w:tcPr/>
          <w:p>
            <w:pPr>
              <w:pStyle w:val="Compact"/>
            </w:pPr>
            <w:r>
              <w:t xml:space="preserve">WEM only</w:t>
            </w:r>
          </w:p>
        </w:tc>
      </w:tr>
      <w:tr>
        <w:tc>
          <w:tcPr/>
          <w:p>
            <w:pPr>
              <w:pStyle w:val="Compact"/>
            </w:pPr>
            <w:r>
              <w:rPr>
                <w:b/>
                <w:bCs/>
              </w:rPr>
              <w:t xml:space="preserve">Fields</w:t>
            </w:r>
          </w:p>
        </w:tc>
        <w:tc>
          <w:tcPr/>
          <w:p>
            <w:pPr>
              <w:pStyle w:val="Compact"/>
            </w:pPr>
            <w:r>
              <w:rPr>
                <w:rStyle w:val="VerbatimChar"/>
              </w:rPr>
              <w:t xml:space="preserve">I01</w:t>
            </w:r>
            <w:r>
              <w:t xml:space="preserve">–</w:t>
            </w:r>
            <w:r>
              <w:rPr>
                <w:rStyle w:val="VerbatimChar"/>
              </w:rPr>
              <w:t xml:space="preserve">I48</w:t>
            </w:r>
            <w:r>
              <w:t xml:space="preserve"> </w:t>
            </w:r>
            <w:r>
              <w:t xml:space="preserve">(interval generation),</w:t>
            </w:r>
            <w:r>
              <w:t xml:space="preserve"> </w:t>
            </w:r>
            <w:r>
              <w:rPr>
                <w:rStyle w:val="VerbatimChar"/>
              </w:rPr>
              <w:t xml:space="preserve">FACILITY_CODE</w:t>
            </w:r>
            <w:r>
              <w:t xml:space="preserve">,</w:t>
            </w:r>
            <w:r>
              <w:t xml:space="preserve"> </w:t>
            </w:r>
            <w:r>
              <w:rPr>
                <w:rStyle w:val="VerbatimChar"/>
              </w:rPr>
              <w:t xml:space="preserve">PRIMARY_FUEL</w:t>
            </w:r>
            <w:r>
              <w:t xml:space="preserve">,</w:t>
            </w:r>
            <w:r>
              <w:t xml:space="preserve"> </w:t>
            </w:r>
            <w:r>
              <w:rPr>
                <w:rStyle w:val="VerbatimChar"/>
              </w:rPr>
              <w:t xml:space="preserve">MAX_GEN_CAPACITY</w:t>
            </w:r>
          </w:p>
        </w:tc>
      </w:tr>
    </w:tbl>
    <w:p>
      <w:pPr>
        <w:pStyle w:val="CaptionedFigure"/>
      </w:pPr>
      <w:r>
        <w:drawing>
          <wp:inline>
            <wp:extent cx="5334000" cy="3576074"/>
            <wp:effectExtent b="0" l="0" r="0" t="0"/>
            <wp:docPr descr="WA Dispatch" title="" id="86" name="Picture"/>
            <a:graphic>
              <a:graphicData uri="http://schemas.openxmlformats.org/drawingml/2006/picture">
                <pic:pic>
                  <pic:nvPicPr>
                    <pic:cNvPr descr="screenshots/13-wa-dispatch.png" id="87" name="Picture"/>
                    <pic:cNvPicPr>
                      <a:picLocks noChangeArrowheads="1" noChangeAspect="1"/>
                    </pic:cNvPicPr>
                  </pic:nvPicPr>
                  <pic:blipFill>
                    <a:blip r:embed="rId85"/>
                    <a:stretch>
                      <a:fillRect/>
                    </a:stretch>
                  </pic:blipFill>
                  <pic:spPr bwMode="auto">
                    <a:xfrm>
                      <a:off x="0" y="0"/>
                      <a:ext cx="5334000" cy="3576074"/>
                    </a:xfrm>
                    <a:prstGeom prst="rect">
                      <a:avLst/>
                    </a:prstGeom>
                    <a:noFill/>
                    <a:ln w="9525">
                      <a:noFill/>
                      <a:headEnd/>
                      <a:tailEnd/>
                    </a:ln>
                  </pic:spPr>
                </pic:pic>
              </a:graphicData>
            </a:graphic>
          </wp:inline>
        </w:drawing>
      </w:r>
    </w:p>
    <w:p>
      <w:pPr>
        <w:pStyle w:val="ImageCaption"/>
      </w:pPr>
      <w:r>
        <w:t xml:space="preserve">WA Dispatch</w:t>
      </w:r>
    </w:p>
    <w:p>
      <w:r>
        <w:pict>
          <v:rect style="width:0;height:1.5pt" o:hralign="center" o:hrstd="t" o:hr="t"/>
        </w:pict>
      </w:r>
    </w:p>
    <w:bookmarkEnd w:id="88"/>
    <w:bookmarkEnd w:id="89"/>
    <w:bookmarkStart w:id="94" w:name="wa-reserves"/>
    <w:p>
      <w:pPr>
        <w:pStyle w:val="Heading2"/>
      </w:pPr>
      <w:r>
        <w:t xml:space="preserve">14. WA Reserves</w:t>
      </w:r>
    </w:p>
    <w:p>
      <w:pPr>
        <w:pStyle w:val="FirstParagraph"/>
      </w:pPr>
      <w:r>
        <w:t xml:space="preserve">Displays spinning reserve, LFAS (Load Following Ancillary Service) requirements, and forecast vs actual generation in the WEM. Essential for monitoring WA grid stability margins.</w:t>
      </w:r>
    </w:p>
    <w:p>
      <w:pPr>
        <w:pStyle w:val="Compact"/>
        <w:numPr>
          <w:ilvl w:val="0"/>
          <w:numId w:val="1015"/>
        </w:numPr>
      </w:pPr>
      <w:r>
        <w:rPr>
          <w:b/>
          <w:bCs/>
        </w:rPr>
        <w:t xml:space="preserve">Forecast Demand</w:t>
      </w:r>
      <w:r>
        <w:t xml:space="preserve"> </w:t>
      </w:r>
      <w:r>
        <w:t xml:space="preserve">(dashed blue) — AEMO’s demand forecast</w:t>
      </w:r>
    </w:p>
    <w:p>
      <w:pPr>
        <w:pStyle w:val="Compact"/>
        <w:numPr>
          <w:ilvl w:val="0"/>
          <w:numId w:val="1015"/>
        </w:numPr>
      </w:pPr>
      <w:r>
        <w:rPr>
          <w:b/>
          <w:bCs/>
        </w:rPr>
        <w:t xml:space="preserve">Actual Generation</w:t>
      </w:r>
      <w:r>
        <w:t xml:space="preserve"> </w:t>
      </w:r>
      <w:r>
        <w:t xml:space="preserve">(solid teal) — real-time total generation</w:t>
      </w:r>
    </w:p>
    <w:p>
      <w:pPr>
        <w:pStyle w:val="Compact"/>
        <w:numPr>
          <w:ilvl w:val="0"/>
          <w:numId w:val="1015"/>
        </w:numPr>
      </w:pPr>
      <w:r>
        <w:rPr>
          <w:b/>
          <w:bCs/>
        </w:rPr>
        <w:t xml:space="preserve">RTD Generation</w:t>
      </w:r>
      <w:r>
        <w:t xml:space="preserve"> </w:t>
      </w:r>
      <w:r>
        <w:t xml:space="preserve">(green) — Real-Time Dispatch generation</w:t>
      </w:r>
    </w:p>
    <w:p>
      <w:pPr>
        <w:pStyle w:val="Compact"/>
        <w:numPr>
          <w:ilvl w:val="0"/>
          <w:numId w:val="1015"/>
        </w:numPr>
      </w:pPr>
      <w:r>
        <w:rPr>
          <w:b/>
          <w:bCs/>
        </w:rPr>
        <w:t xml:space="preserve">LFAS Up Requirement</w:t>
      </w:r>
      <w:r>
        <w:t xml:space="preserve"> </w:t>
      </w:r>
      <w:r>
        <w:t xml:space="preserve">(purple, right axis) — load following reserve requirement</w:t>
      </w:r>
    </w:p>
    <w:p>
      <w:pPr>
        <w:pStyle w:val="Compact"/>
        <w:numPr>
          <w:ilvl w:val="0"/>
          <w:numId w:val="1015"/>
        </w:numPr>
      </w:pPr>
      <w:r>
        <w:rPr>
          <w:b/>
          <w:bCs/>
        </w:rPr>
        <w:t xml:space="preserve">Spinning Reserve</w:t>
      </w:r>
      <w:r>
        <w:t xml:space="preserve"> </w:t>
      </w:r>
      <w:r>
        <w:t xml:space="preserve">(red, right axis) — available spinning reserve</w:t>
      </w:r>
    </w:p>
    <w:p>
      <w:pPr>
        <w:pStyle w:val="Compact"/>
        <w:numPr>
          <w:ilvl w:val="0"/>
          <w:numId w:val="1015"/>
        </w:numPr>
      </w:pPr>
      <w:r>
        <w:rPr>
          <w:b/>
          <w:bCs/>
        </w:rPr>
        <w:t xml:space="preserve">KPI row</w:t>
      </w:r>
      <w:r>
        <w:t xml:space="preserve"> </w:t>
      </w:r>
      <w:r>
        <w:t xml:space="preserve">— LFAS requirement, spinning reserve, actual generation, forecast accuracy</w:t>
      </w:r>
    </w:p>
    <w:bookmarkStart w:id="93" w:name="data-source-13"/>
    <w:p>
      <w:pPr>
        <w:pStyle w:val="Heading3"/>
      </w:pPr>
      <w:r>
        <w:t xml:space="preserve">Data Source</w:t>
      </w:r>
    </w:p>
    <w:tbl>
      <w:tblPr>
        <w:tblStyle w:val="Table"/>
        <w:tblW w:type="pct" w:w="5000"/>
        <w:tblLayout w:type="fixed"/>
        <w:tblLook w:firstRow="1" w:lastRow="0" w:firstColumn="0" w:lastColumn="0" w:noHBand="0" w:noVBand="0" w:val="0020"/>
      </w:tblPr>
      <w:tblGrid>
        <w:gridCol w:w="4224"/>
        <w:gridCol w:w="3696"/>
      </w:tblGrid>
      <w:tr>
        <w:trPr>
          <w:tblHeader w:val="on"/>
        </w:trPr>
        <w:tc>
          <w:tcPr/>
          <w:p>
            <w:pPr>
              <w:pStyle w:val="Compact"/>
            </w:pPr>
            <w:r>
              <w:t xml:space="preserve">Aspect</w:t>
            </w:r>
          </w:p>
        </w:tc>
        <w:tc>
          <w:tcPr/>
          <w:p>
            <w:pPr>
              <w:pStyle w:val="Compact"/>
            </w:pPr>
            <w:r>
              <w:t xml:space="preserve">Value</w:t>
            </w:r>
          </w:p>
        </w:tc>
      </w:tr>
      <w:tr>
        <w:tc>
          <w:tcPr/>
          <w:p>
            <w:pPr>
              <w:pStyle w:val="Compact"/>
            </w:pPr>
            <w:r>
              <w:rPr>
                <w:b/>
                <w:bCs/>
              </w:rPr>
              <w:t xml:space="preserve">Endpoint</w:t>
            </w:r>
          </w:p>
        </w:tc>
        <w:tc>
          <w:tcPr/>
          <w:p>
            <w:pPr>
              <w:pStyle w:val="Compact"/>
            </w:pPr>
            <w:r>
              <w:rPr>
                <w:rStyle w:val="VerbatimChar"/>
              </w:rPr>
              <w:t xml:space="preserve">pulse.csv</w:t>
            </w:r>
          </w:p>
        </w:tc>
      </w:tr>
      <w:tr>
        <w:tc>
          <w:tcPr/>
          <w:p>
            <w:pPr>
              <w:pStyle w:val="Compact"/>
            </w:pPr>
            <w:r>
              <w:rPr>
                <w:b/>
                <w:bCs/>
              </w:rPr>
              <w:t xml:space="preserve">Base URL</w:t>
            </w:r>
          </w:p>
        </w:tc>
        <w:tc>
          <w:tcPr/>
          <w:p>
            <w:pPr>
              <w:pStyle w:val="Compact"/>
            </w:pPr>
            <w:r>
              <w:rPr>
                <w:rStyle w:val="VerbatimChar"/>
              </w:rPr>
              <w:t xml:space="preserve">data.wa.aemo.com.au</w:t>
            </w:r>
          </w:p>
        </w:tc>
      </w:tr>
      <w:tr>
        <w:tc>
          <w:tcPr/>
          <w:p>
            <w:pPr>
              <w:pStyle w:val="Compact"/>
            </w:pPr>
            <w:r>
              <w:rPr>
                <w:b/>
                <w:bCs/>
              </w:rPr>
              <w:t xml:space="preserve">Freshness</w:t>
            </w:r>
          </w:p>
        </w:tc>
        <w:tc>
          <w:tcPr/>
          <w:p>
            <w:pPr>
              <w:pStyle w:val="Compact"/>
            </w:pPr>
            <w:r>
              <w:t xml:space="preserve">25 minutes</w:t>
            </w:r>
          </w:p>
        </w:tc>
      </w:tr>
      <w:tr>
        <w:tc>
          <w:tcPr/>
          <w:p>
            <w:pPr>
              <w:pStyle w:val="Compact"/>
            </w:pPr>
            <w:r>
              <w:rPr>
                <w:b/>
                <w:bCs/>
              </w:rPr>
              <w:t xml:space="preserve">Market</w:t>
            </w:r>
          </w:p>
        </w:tc>
        <w:tc>
          <w:tcPr/>
          <w:p>
            <w:pPr>
              <w:pStyle w:val="Compact"/>
            </w:pPr>
            <w:r>
              <w:t xml:space="preserve">WEM only</w:t>
            </w:r>
          </w:p>
        </w:tc>
      </w:tr>
      <w:tr>
        <w:tc>
          <w:tcPr/>
          <w:p>
            <w:pPr>
              <w:pStyle w:val="Compact"/>
            </w:pPr>
            <w:r>
              <w:rPr>
                <w:b/>
                <w:bCs/>
              </w:rPr>
              <w:t xml:space="preserve">Fields</w:t>
            </w:r>
          </w:p>
        </w:tc>
        <w:tc>
          <w:tcPr/>
          <w:p>
            <w:pPr>
              <w:pStyle w:val="Compact"/>
            </w:pPr>
            <w:r>
              <w:rPr>
                <w:rStyle w:val="VerbatimChar"/>
              </w:rPr>
              <w:t xml:space="preserve">RTD_TOTAL_SPINNING_RESERVE</w:t>
            </w:r>
            <w:r>
              <w:t xml:space="preserve">,</w:t>
            </w:r>
            <w:r>
              <w:t xml:space="preserve"> </w:t>
            </w:r>
            <w:r>
              <w:rPr>
                <w:rStyle w:val="VerbatimChar"/>
              </w:rPr>
              <w:t xml:space="preserve">LFAS_UP_REQUIREMENT_MW</w:t>
            </w:r>
            <w:r>
              <w:t xml:space="preserve">,</w:t>
            </w:r>
            <w:r>
              <w:t xml:space="preserve"> </w:t>
            </w:r>
            <w:r>
              <w:rPr>
                <w:rStyle w:val="VerbatimChar"/>
              </w:rPr>
              <w:t xml:space="preserve">FORECAST_EOI_MW</w:t>
            </w:r>
            <w:r>
              <w:t xml:space="preserve">,</w:t>
            </w:r>
            <w:r>
              <w:t xml:space="preserve"> </w:t>
            </w:r>
            <w:r>
              <w:rPr>
                <w:rStyle w:val="VerbatimChar"/>
              </w:rPr>
              <w:t xml:space="preserve">ACTUAL_TOTAL_GENERATION</w:t>
            </w:r>
            <w:r>
              <w:t xml:space="preserve">,</w:t>
            </w:r>
            <w:r>
              <w:t xml:space="preserve"> </w:t>
            </w:r>
            <w:r>
              <w:rPr>
                <w:rStyle w:val="VerbatimChar"/>
              </w:rPr>
              <w:t xml:space="preserve">RTD_TOTAL_GENERATION</w:t>
            </w:r>
          </w:p>
        </w:tc>
      </w:tr>
    </w:tbl>
    <w:p>
      <w:pPr>
        <w:pStyle w:val="CaptionedFigure"/>
      </w:pPr>
      <w:r>
        <w:drawing>
          <wp:inline>
            <wp:extent cx="5334000" cy="3576074"/>
            <wp:effectExtent b="0" l="0" r="0" t="0"/>
            <wp:docPr descr="WA Reserves" title="" id="91" name="Picture"/>
            <a:graphic>
              <a:graphicData uri="http://schemas.openxmlformats.org/drawingml/2006/picture">
                <pic:pic>
                  <pic:nvPicPr>
                    <pic:cNvPr descr="screenshots/14-wa-reserves.png" id="92" name="Picture"/>
                    <pic:cNvPicPr>
                      <a:picLocks noChangeArrowheads="1" noChangeAspect="1"/>
                    </pic:cNvPicPr>
                  </pic:nvPicPr>
                  <pic:blipFill>
                    <a:blip r:embed="rId90"/>
                    <a:stretch>
                      <a:fillRect/>
                    </a:stretch>
                  </pic:blipFill>
                  <pic:spPr bwMode="auto">
                    <a:xfrm>
                      <a:off x="0" y="0"/>
                      <a:ext cx="5334000" cy="3576074"/>
                    </a:xfrm>
                    <a:prstGeom prst="rect">
                      <a:avLst/>
                    </a:prstGeom>
                    <a:noFill/>
                    <a:ln w="9525">
                      <a:noFill/>
                      <a:headEnd/>
                      <a:tailEnd/>
                    </a:ln>
                  </pic:spPr>
                </pic:pic>
              </a:graphicData>
            </a:graphic>
          </wp:inline>
        </w:drawing>
      </w:r>
    </w:p>
    <w:p>
      <w:pPr>
        <w:pStyle w:val="ImageCaption"/>
      </w:pPr>
      <w:r>
        <w:t xml:space="preserve">WA Reserves</w:t>
      </w:r>
    </w:p>
    <w:p>
      <w:r>
        <w:pict>
          <v:rect style="width:0;height:1.5pt" o:hralign="center" o:hrstd="t" o:hr="t"/>
        </w:pict>
      </w:r>
    </w:p>
    <w:bookmarkEnd w:id="93"/>
    <w:bookmarkEnd w:id="94"/>
    <w:bookmarkStart w:id="99" w:name="wa-gen-map"/>
    <w:p>
      <w:pPr>
        <w:pStyle w:val="Heading2"/>
      </w:pPr>
      <w:r>
        <w:t xml:space="preserve">15. WA Gen Map</w:t>
      </w:r>
    </w:p>
    <w:p>
      <w:pPr>
        <w:pStyle w:val="FirstParagraph"/>
      </w:pPr>
      <w:r>
        <w:t xml:space="preserve">A geographic map of Western Australia with scatter overlay showing all registered generation facilities. Each facility is positioned by latitude/longitude, sized by current output, and coloured by fuel type.</w:t>
      </w:r>
    </w:p>
    <w:p>
      <w:pPr>
        <w:pStyle w:val="Compact"/>
        <w:numPr>
          <w:ilvl w:val="0"/>
          <w:numId w:val="1016"/>
        </w:numPr>
      </w:pPr>
      <w:r>
        <w:rPr>
          <w:b/>
          <w:bCs/>
        </w:rPr>
        <w:t xml:space="preserve">Scatter overlay</w:t>
      </w:r>
      <w:r>
        <w:t xml:space="preserve"> </w:t>
      </w:r>
      <w:r>
        <w:t xml:space="preserve">on Australia map (WA highlighted)</w:t>
      </w:r>
    </w:p>
    <w:p>
      <w:pPr>
        <w:pStyle w:val="Compact"/>
        <w:numPr>
          <w:ilvl w:val="0"/>
          <w:numId w:val="1016"/>
        </w:numPr>
      </w:pPr>
      <w:r>
        <w:rPr>
          <w:b/>
          <w:bCs/>
        </w:rPr>
        <w:t xml:space="preserve">Symbol size</w:t>
      </w:r>
      <w:r>
        <w:t xml:space="preserve"> </w:t>
      </w:r>
      <w:r>
        <w:t xml:space="preserve">proportional to current MW output</w:t>
      </w:r>
    </w:p>
    <w:p>
      <w:pPr>
        <w:pStyle w:val="Compact"/>
        <w:numPr>
          <w:ilvl w:val="0"/>
          <w:numId w:val="1016"/>
        </w:numPr>
      </w:pPr>
      <w:r>
        <w:rPr>
          <w:b/>
          <w:bCs/>
        </w:rPr>
        <w:t xml:space="preserve">Colour by fuel type</w:t>
      </w:r>
      <w:r>
        <w:t xml:space="preserve"> </w:t>
      </w:r>
      <w:r>
        <w:t xml:space="preserve">— consistent with other fuel mix visualisations</w:t>
      </w:r>
    </w:p>
    <w:p>
      <w:pPr>
        <w:pStyle w:val="Compact"/>
        <w:numPr>
          <w:ilvl w:val="0"/>
          <w:numId w:val="1016"/>
        </w:numPr>
      </w:pPr>
      <w:r>
        <w:rPr>
          <w:b/>
          <w:bCs/>
        </w:rPr>
        <w:t xml:space="preserve">Legend filtering</w:t>
      </w:r>
      <w:r>
        <w:t xml:space="preserve"> </w:t>
      </w:r>
      <w:r>
        <w:t xml:space="preserve">— click fuel types to show/hide</w:t>
      </w:r>
    </w:p>
    <w:p>
      <w:pPr>
        <w:pStyle w:val="Compact"/>
        <w:numPr>
          <w:ilvl w:val="0"/>
          <w:numId w:val="1016"/>
        </w:numPr>
      </w:pPr>
      <w:r>
        <w:rPr>
          <w:b/>
          <w:bCs/>
        </w:rPr>
        <w:t xml:space="preserve">KPI row</w:t>
      </w:r>
      <w:r>
        <w:t xml:space="preserve"> </w:t>
      </w:r>
      <w:r>
        <w:t xml:space="preserve">— data timestamp, total facilities, generating facilities, total output, installed capacity</w:t>
      </w:r>
    </w:p>
    <w:p>
      <w:pPr>
        <w:pStyle w:val="Compact"/>
        <w:numPr>
          <w:ilvl w:val="0"/>
          <w:numId w:val="1016"/>
        </w:numPr>
      </w:pPr>
      <w:r>
        <w:t xml:space="preserve">Pan and zoom enabled for detailed exploration</w:t>
      </w:r>
    </w:p>
    <w:bookmarkStart w:id="98" w:name="data-source-14"/>
    <w:p>
      <w:pPr>
        <w:pStyle w:val="Heading3"/>
      </w:pPr>
      <w:r>
        <w:t xml:space="preserve">Data Source</w:t>
      </w:r>
    </w:p>
    <w:tbl>
      <w:tblPr>
        <w:tblStyle w:val="Table"/>
        <w:tblW w:type="pct" w:w="5000"/>
        <w:tblLayout w:type="fixed"/>
        <w:tblLook w:firstRow="1" w:lastRow="0" w:firstColumn="0" w:lastColumn="0" w:noHBand="0" w:noVBand="0" w:val="0020"/>
      </w:tblPr>
      <w:tblGrid>
        <w:gridCol w:w="4224"/>
        <w:gridCol w:w="3696"/>
      </w:tblGrid>
      <w:tr>
        <w:trPr>
          <w:tblHeader w:val="on"/>
        </w:trPr>
        <w:tc>
          <w:tcPr/>
          <w:p>
            <w:pPr>
              <w:pStyle w:val="Compact"/>
            </w:pPr>
            <w:r>
              <w:t xml:space="preserve">Aspect</w:t>
            </w:r>
          </w:p>
        </w:tc>
        <w:tc>
          <w:tcPr/>
          <w:p>
            <w:pPr>
              <w:pStyle w:val="Compact"/>
            </w:pPr>
            <w:r>
              <w:t xml:space="preserve">Value</w:t>
            </w:r>
          </w:p>
        </w:tc>
      </w:tr>
      <w:tr>
        <w:tc>
          <w:tcPr/>
          <w:p>
            <w:pPr>
              <w:pStyle w:val="Compact"/>
            </w:pPr>
            <w:r>
              <w:rPr>
                <w:b/>
                <w:bCs/>
              </w:rPr>
              <w:t xml:space="preserve">Generation endpoint</w:t>
            </w:r>
          </w:p>
        </w:tc>
        <w:tc>
          <w:tcPr/>
          <w:p>
            <w:pPr>
              <w:pStyle w:val="Compact"/>
            </w:pPr>
            <w:r>
              <w:rPr>
                <w:rStyle w:val="VerbatimChar"/>
              </w:rPr>
              <w:t xml:space="preserve">generation.csv</w:t>
            </w:r>
          </w:p>
        </w:tc>
      </w:tr>
      <w:tr>
        <w:tc>
          <w:tcPr/>
          <w:p>
            <w:pPr>
              <w:pStyle w:val="Compact"/>
            </w:pPr>
            <w:r>
              <w:rPr>
                <w:b/>
                <w:bCs/>
              </w:rPr>
              <w:t xml:space="preserve">Metadata endpoint</w:t>
            </w:r>
          </w:p>
        </w:tc>
        <w:tc>
          <w:tcPr/>
          <w:p>
            <w:pPr>
              <w:pStyle w:val="Compact"/>
            </w:pPr>
            <w:r>
              <w:rPr>
                <w:rStyle w:val="VerbatimChar"/>
              </w:rPr>
              <w:t xml:space="preserve">facility-meta-fuelmix.csv</w:t>
            </w:r>
          </w:p>
        </w:tc>
      </w:tr>
      <w:tr>
        <w:tc>
          <w:tcPr/>
          <w:p>
            <w:pPr>
              <w:pStyle w:val="Compact"/>
            </w:pPr>
            <w:r>
              <w:rPr>
                <w:b/>
                <w:bCs/>
              </w:rPr>
              <w:t xml:space="preserve">Base URL</w:t>
            </w:r>
          </w:p>
        </w:tc>
        <w:tc>
          <w:tcPr/>
          <w:p>
            <w:pPr>
              <w:pStyle w:val="Compact"/>
            </w:pPr>
            <w:r>
              <w:rPr>
                <w:rStyle w:val="VerbatimChar"/>
              </w:rPr>
              <w:t xml:space="preserve">data.wa.aemo.com.au</w:t>
            </w:r>
          </w:p>
        </w:tc>
      </w:tr>
      <w:tr>
        <w:tc>
          <w:tcPr/>
          <w:p>
            <w:pPr>
              <w:pStyle w:val="Compact"/>
            </w:pPr>
            <w:r>
              <w:rPr>
                <w:b/>
                <w:bCs/>
              </w:rPr>
              <w:t xml:space="preserve">Freshness</w:t>
            </w:r>
          </w:p>
        </w:tc>
        <w:tc>
          <w:tcPr/>
          <w:p>
            <w:pPr>
              <w:pStyle w:val="Compact"/>
            </w:pPr>
            <w:r>
              <w:t xml:space="preserve">Generation: 55 min, Metadata: 1 hour</w:t>
            </w:r>
          </w:p>
        </w:tc>
      </w:tr>
      <w:tr>
        <w:tc>
          <w:tcPr/>
          <w:p>
            <w:pPr>
              <w:pStyle w:val="Compact"/>
            </w:pPr>
            <w:r>
              <w:rPr>
                <w:b/>
                <w:bCs/>
              </w:rPr>
              <w:t xml:space="preserve">Market</w:t>
            </w:r>
          </w:p>
        </w:tc>
        <w:tc>
          <w:tcPr/>
          <w:p>
            <w:pPr>
              <w:pStyle w:val="Compact"/>
            </w:pPr>
            <w:r>
              <w:t xml:space="preserve">WEM only</w:t>
            </w:r>
          </w:p>
        </w:tc>
      </w:tr>
      <w:tr>
        <w:tc>
          <w:tcPr/>
          <w:p>
            <w:pPr>
              <w:pStyle w:val="Compact"/>
            </w:pPr>
            <w:r>
              <w:rPr>
                <w:b/>
                <w:bCs/>
              </w:rPr>
              <w:t xml:space="preserve">Fields</w:t>
            </w:r>
          </w:p>
        </w:tc>
        <w:tc>
          <w:tcPr/>
          <w:p>
            <w:pPr>
              <w:pStyle w:val="Compact"/>
            </w:pPr>
            <w:r>
              <w:rPr>
                <w:rStyle w:val="VerbatimChar"/>
              </w:rPr>
              <w:t xml:space="preserve">I01</w:t>
            </w:r>
            <w:r>
              <w:t xml:space="preserve"> </w:t>
            </w:r>
            <w:r>
              <w:t xml:space="preserve">(current output),</w:t>
            </w:r>
            <w:r>
              <w:t xml:space="preserve"> </w:t>
            </w:r>
            <w:r>
              <w:rPr>
                <w:rStyle w:val="VerbatimChar"/>
              </w:rPr>
              <w:t xml:space="preserve">MAX_GEN_CAPACITY</w:t>
            </w:r>
            <w:r>
              <w:t xml:space="preserve">,</w:t>
            </w:r>
            <w:r>
              <w:t xml:space="preserve"> </w:t>
            </w:r>
            <w:r>
              <w:rPr>
                <w:rStyle w:val="VerbatimChar"/>
              </w:rPr>
              <w:t xml:space="preserve">LATITUDE</w:t>
            </w:r>
            <w:r>
              <w:t xml:space="preserve">,</w:t>
            </w:r>
            <w:r>
              <w:t xml:space="preserve"> </w:t>
            </w:r>
            <w:r>
              <w:rPr>
                <w:rStyle w:val="VerbatimChar"/>
              </w:rPr>
              <w:t xml:space="preserve">LONGITUDE</w:t>
            </w:r>
            <w:r>
              <w:t xml:space="preserve">,</w:t>
            </w:r>
            <w:r>
              <w:t xml:space="preserve"> </w:t>
            </w:r>
            <w:r>
              <w:rPr>
                <w:rStyle w:val="VerbatimChar"/>
              </w:rPr>
              <w:t xml:space="preserve">PRIMARY_FUEL</w:t>
            </w:r>
            <w:r>
              <w:t xml:space="preserve">,</w:t>
            </w:r>
            <w:r>
              <w:t xml:space="preserve"> </w:t>
            </w:r>
            <w:r>
              <w:rPr>
                <w:rStyle w:val="VerbatimChar"/>
              </w:rPr>
              <w:t xml:space="preserve">DISPLAY_NAME</w:t>
            </w:r>
          </w:p>
        </w:tc>
      </w:tr>
      <w:tr>
        <w:tc>
          <w:tcPr/>
          <w:p>
            <w:pPr>
              <w:pStyle w:val="Compact"/>
            </w:pPr>
            <w:r>
              <w:rPr>
                <w:b/>
                <w:bCs/>
              </w:rPr>
              <w:t xml:space="preserve">GeoJSON</w:t>
            </w:r>
          </w:p>
        </w:tc>
        <w:tc>
          <w:tcPr/>
          <w:p>
            <w:pPr>
              <w:pStyle w:val="Compact"/>
            </w:pPr>
            <w:r>
              <w:t xml:space="preserve">Australia states (WA region highlighted)</w:t>
            </w:r>
          </w:p>
        </w:tc>
      </w:tr>
    </w:tbl>
    <w:p>
      <w:pPr>
        <w:pStyle w:val="BodyText"/>
      </w:pPr>
      <w:r>
        <w:rPr>
          <w:b/>
          <w:bCs/>
        </w:rPr>
        <w:t xml:space="preserve">Note:</w:t>
      </w:r>
      <w:r>
        <w:t xml:space="preserve"> </w:t>
      </w:r>
      <w:r>
        <w:t xml:space="preserve">Some facility coordinates in AEMO metadata are incorrect (defaulting to Perth CBD). The application includes coordinate corrections for known facilities based on Global Energy Observatory, Wikipedia, and planning documents.</w:t>
      </w:r>
    </w:p>
    <w:p>
      <w:pPr>
        <w:pStyle w:val="CaptionedFigure"/>
      </w:pPr>
      <w:r>
        <w:drawing>
          <wp:inline>
            <wp:extent cx="5334000" cy="3576074"/>
            <wp:effectExtent b="0" l="0" r="0" t="0"/>
            <wp:docPr descr="WA Gen Map" title="" id="96" name="Picture"/>
            <a:graphic>
              <a:graphicData uri="http://schemas.openxmlformats.org/drawingml/2006/picture">
                <pic:pic>
                  <pic:nvPicPr>
                    <pic:cNvPr descr="screenshots/15-wa-gen-map.png" id="97" name="Picture"/>
                    <pic:cNvPicPr>
                      <a:picLocks noChangeArrowheads="1" noChangeAspect="1"/>
                    </pic:cNvPicPr>
                  </pic:nvPicPr>
                  <pic:blipFill>
                    <a:blip r:embed="rId95"/>
                    <a:stretch>
                      <a:fillRect/>
                    </a:stretch>
                  </pic:blipFill>
                  <pic:spPr bwMode="auto">
                    <a:xfrm>
                      <a:off x="0" y="0"/>
                      <a:ext cx="5334000" cy="3576074"/>
                    </a:xfrm>
                    <a:prstGeom prst="rect">
                      <a:avLst/>
                    </a:prstGeom>
                    <a:noFill/>
                    <a:ln w="9525">
                      <a:noFill/>
                      <a:headEnd/>
                      <a:tailEnd/>
                    </a:ln>
                  </pic:spPr>
                </pic:pic>
              </a:graphicData>
            </a:graphic>
          </wp:inline>
        </w:drawing>
      </w:r>
    </w:p>
    <w:p>
      <w:pPr>
        <w:pStyle w:val="ImageCaption"/>
      </w:pPr>
      <w:r>
        <w:t xml:space="preserve">WA Gen Map</w:t>
      </w:r>
    </w:p>
    <w:p>
      <w:r>
        <w:pict>
          <v:rect style="width:0;height:1.5pt" o:hralign="center" o:hrstd="t" o:hr="t"/>
        </w:pict>
      </w:r>
    </w:p>
    <w:bookmarkEnd w:id="98"/>
    <w:bookmarkEnd w:id="99"/>
    <w:bookmarkStart w:id="105" w:name="technical-notes"/>
    <w:p>
      <w:pPr>
        <w:pStyle w:val="Heading2"/>
      </w:pPr>
      <w:r>
        <w:t xml:space="preserve">Technical Notes</w:t>
      </w:r>
    </w:p>
    <w:bookmarkStart w:id="100" w:name="architecture"/>
    <w:p>
      <w:pPr>
        <w:pStyle w:val="Heading3"/>
      </w:pPr>
      <w:r>
        <w:t xml:space="preserve">Architecture</w:t>
      </w:r>
    </w:p>
    <w:p>
      <w:pPr>
        <w:pStyle w:val="Compact"/>
        <w:numPr>
          <w:ilvl w:val="0"/>
          <w:numId w:val="1017"/>
        </w:numPr>
      </w:pPr>
      <w:r>
        <w:rPr>
          <w:b/>
          <w:bCs/>
        </w:rPr>
        <w:t xml:space="preserve">Framework:</w:t>
      </w:r>
      <w:r>
        <w:t xml:space="preserve"> </w:t>
      </w:r>
      <w:r>
        <w:t xml:space="preserve">Vanilla JavaScript SPA (no React/Vue/Angular)</w:t>
      </w:r>
    </w:p>
    <w:p>
      <w:pPr>
        <w:pStyle w:val="Compact"/>
        <w:numPr>
          <w:ilvl w:val="0"/>
          <w:numId w:val="1017"/>
        </w:numPr>
      </w:pPr>
      <w:r>
        <w:rPr>
          <w:b/>
          <w:bCs/>
        </w:rPr>
        <w:t xml:space="preserve">Charting:</w:t>
      </w:r>
      <w:r>
        <w:t xml:space="preserve"> </w:t>
      </w:r>
      <w:r>
        <w:t xml:space="preserve">Apache ECharts 6.x for high-performance, interactive visualisations</w:t>
      </w:r>
    </w:p>
    <w:p>
      <w:pPr>
        <w:pStyle w:val="Compact"/>
        <w:numPr>
          <w:ilvl w:val="0"/>
          <w:numId w:val="1017"/>
        </w:numPr>
      </w:pPr>
      <w:r>
        <w:rPr>
          <w:b/>
          <w:bCs/>
        </w:rPr>
        <w:t xml:space="preserve">State:</w:t>
      </w:r>
      <w:r>
        <w:t xml:space="preserve"> </w:t>
      </w:r>
      <w:r>
        <w:t xml:space="preserve">nanostores for reactive atom-based state management</w:t>
      </w:r>
    </w:p>
    <w:p>
      <w:pPr>
        <w:pStyle w:val="Compact"/>
        <w:numPr>
          <w:ilvl w:val="0"/>
          <w:numId w:val="1017"/>
        </w:numPr>
      </w:pPr>
      <w:r>
        <w:rPr>
          <w:b/>
          <w:bCs/>
        </w:rPr>
        <w:t xml:space="preserve">HTTP:</w:t>
      </w:r>
      <w:r>
        <w:t xml:space="preserve"> </w:t>
      </w:r>
      <w:r>
        <w:t xml:space="preserve">ky for NEM REST API (with retry/timeout), native fetch for WEM CSVs</w:t>
      </w:r>
    </w:p>
    <w:p>
      <w:pPr>
        <w:pStyle w:val="Compact"/>
        <w:numPr>
          <w:ilvl w:val="0"/>
          <w:numId w:val="1017"/>
        </w:numPr>
      </w:pPr>
      <w:r>
        <w:rPr>
          <w:b/>
          <w:bCs/>
        </w:rPr>
        <w:t xml:space="preserve">CSV Parsing:</w:t>
      </w:r>
      <w:r>
        <w:t xml:space="preserve"> </w:t>
      </w:r>
      <w:r>
        <w:t xml:space="preserve">PapaParse for WEM data files</w:t>
      </w:r>
    </w:p>
    <w:p>
      <w:pPr>
        <w:pStyle w:val="Compact"/>
        <w:numPr>
          <w:ilvl w:val="0"/>
          <w:numId w:val="1017"/>
        </w:numPr>
      </w:pPr>
      <w:r>
        <w:rPr>
          <w:b/>
          <w:bCs/>
        </w:rPr>
        <w:t xml:space="preserve">Mapping:</w:t>
      </w:r>
      <w:r>
        <w:t xml:space="preserve"> </w:t>
      </w:r>
      <w:r>
        <w:t xml:space="preserve">ECharts geo component with Australia GeoJSON</w:t>
      </w:r>
    </w:p>
    <w:bookmarkEnd w:id="100"/>
    <w:bookmarkStart w:id="101" w:name="data-sources-summary"/>
    <w:p>
      <w:pPr>
        <w:pStyle w:val="Heading3"/>
      </w:pPr>
      <w:r>
        <w:t xml:space="preserve">Data Sources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Market</w:t>
            </w:r>
          </w:p>
        </w:tc>
        <w:tc>
          <w:tcPr/>
          <w:p>
            <w:pPr>
              <w:pStyle w:val="Compact"/>
            </w:pPr>
            <w:r>
              <w:t xml:space="preserve">Base URL</w:t>
            </w:r>
          </w:p>
        </w:tc>
        <w:tc>
          <w:tcPr/>
          <w:p>
            <w:pPr>
              <w:pStyle w:val="Compact"/>
            </w:pPr>
            <w:r>
              <w:t xml:space="preserve">Format</w:t>
            </w:r>
          </w:p>
        </w:tc>
        <w:tc>
          <w:tcPr/>
          <w:p>
            <w:pPr>
              <w:pStyle w:val="Compact"/>
            </w:pPr>
            <w:r>
              <w:t xml:space="preserve">Auth</w:t>
            </w:r>
          </w:p>
        </w:tc>
      </w:tr>
      <w:tr>
        <w:tc>
          <w:tcPr/>
          <w:p>
            <w:pPr>
              <w:pStyle w:val="Compact"/>
            </w:pPr>
            <w:r>
              <w:t xml:space="preserve">NEM</w:t>
            </w:r>
          </w:p>
        </w:tc>
        <w:tc>
          <w:tcPr/>
          <w:p>
            <w:pPr>
              <w:pStyle w:val="Compact"/>
            </w:pPr>
            <w:r>
              <w:rPr>
                <w:rStyle w:val="VerbatimChar"/>
              </w:rPr>
              <w:t xml:space="preserve">dashboards.public.aemo.com.au</w:t>
            </w:r>
          </w:p>
        </w:tc>
        <w:tc>
          <w:tcPr/>
          <w:p>
            <w:pPr>
              <w:pStyle w:val="Compact"/>
            </w:pPr>
            <w:r>
              <w:t xml:space="preserve">JSON REST</w:t>
            </w:r>
          </w:p>
        </w:tc>
        <w:tc>
          <w:tcPr/>
          <w:p>
            <w:pPr>
              <w:pStyle w:val="Compact"/>
            </w:pPr>
            <w:r>
              <w:t xml:space="preserve">API key (public)</w:t>
            </w:r>
          </w:p>
        </w:tc>
      </w:tr>
      <w:tr>
        <w:tc>
          <w:tcPr/>
          <w:p>
            <w:pPr>
              <w:pStyle w:val="Compact"/>
            </w:pPr>
            <w:r>
              <w:t xml:space="preserve">WEM</w:t>
            </w:r>
          </w:p>
        </w:tc>
        <w:tc>
          <w:tcPr/>
          <w:p>
            <w:pPr>
              <w:pStyle w:val="Compact"/>
            </w:pPr>
            <w:r>
              <w:rPr>
                <w:rStyle w:val="VerbatimChar"/>
              </w:rPr>
              <w:t xml:space="preserve">data.wa.aemo.com.au</w:t>
            </w:r>
          </w:p>
        </w:tc>
        <w:tc>
          <w:tcPr/>
          <w:p>
            <w:pPr>
              <w:pStyle w:val="Compact"/>
            </w:pPr>
            <w:r>
              <w:t xml:space="preserve">CSV files</w:t>
            </w:r>
          </w:p>
        </w:tc>
        <w:tc>
          <w:tcPr/>
          <w:p>
            <w:pPr>
              <w:pStyle w:val="Compact"/>
            </w:pPr>
            <w:r>
              <w:t xml:space="preserve">None (CORS open)</w:t>
            </w:r>
          </w:p>
        </w:tc>
      </w:tr>
    </w:tbl>
    <w:bookmarkEnd w:id="101"/>
    <w:bookmarkStart w:id="102" w:name="polling-freshness"/>
    <w:p>
      <w:pPr>
        <w:pStyle w:val="Heading3"/>
      </w:pPr>
      <w:r>
        <w:t xml:space="preserve">Polling &amp; Freshness</w:t>
      </w:r>
    </w:p>
    <w:p>
      <w:pPr>
        <w:pStyle w:val="FirstParagraph"/>
      </w:pPr>
      <w:r>
        <w:t xml:space="preserve">The application uses a dual-layer freshness system:</w:t>
      </w:r>
    </w:p>
    <w:p>
      <w:pPr>
        <w:pStyle w:val="Compact"/>
        <w:numPr>
          <w:ilvl w:val="0"/>
          <w:numId w:val="1018"/>
        </w:numPr>
      </w:pPr>
      <w:r>
        <w:rPr>
          <w:b/>
          <w:bCs/>
        </w:rPr>
        <w:t xml:space="preserve">fetchIfStale()</w:t>
      </w:r>
      <w:r>
        <w:t xml:space="preserve"> </w:t>
      </w:r>
      <w:r>
        <w:t xml:space="preserve">— On page mount, only fetches if data is older than freshness threshold</w:t>
      </w:r>
    </w:p>
    <w:p>
      <w:pPr>
        <w:pStyle w:val="Compact"/>
        <w:numPr>
          <w:ilvl w:val="0"/>
          <w:numId w:val="1018"/>
        </w:numPr>
      </w:pPr>
      <w:r>
        <w:rPr>
          <w:b/>
          <w:bCs/>
        </w:rPr>
        <w:t xml:space="preserve">Poller</w:t>
      </w:r>
      <w:r>
        <w:t xml:space="preserve"> </w:t>
      </w:r>
      <w:r>
        <w:t xml:space="preserve">— Background 60-second interval checks freshness before refetch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Data Type</w:t>
            </w:r>
          </w:p>
        </w:tc>
        <w:tc>
          <w:tcPr/>
          <w:p>
            <w:pPr>
              <w:pStyle w:val="Compact"/>
            </w:pPr>
            <w:r>
              <w:t xml:space="preserve">Freshness</w:t>
            </w:r>
          </w:p>
        </w:tc>
        <w:tc>
          <w:tcPr/>
          <w:p>
            <w:pPr>
              <w:pStyle w:val="Compact"/>
            </w:pPr>
            <w:r>
              <w:t xml:space="preserve">Poll Interval</w:t>
            </w:r>
          </w:p>
        </w:tc>
      </w:tr>
      <w:tr>
        <w:tc>
          <w:tcPr/>
          <w:p>
            <w:pPr>
              <w:pStyle w:val="Compact"/>
            </w:pPr>
            <w:r>
              <w:t xml:space="preserve">NEM API data</w:t>
            </w:r>
          </w:p>
        </w:tc>
        <w:tc>
          <w:tcPr/>
          <w:p>
            <w:pPr>
              <w:pStyle w:val="Compact"/>
            </w:pPr>
            <w:r>
              <w:t xml:space="preserve">4.5 minutes</w:t>
            </w:r>
          </w:p>
        </w:tc>
        <w:tc>
          <w:tcPr/>
          <w:p>
            <w:pPr>
              <w:pStyle w:val="Compact"/>
            </w:pPr>
            <w:r>
              <w:t xml:space="preserve">60 seconds</w:t>
            </w:r>
          </w:p>
        </w:tc>
      </w:tr>
      <w:tr>
        <w:tc>
          <w:tcPr/>
          <w:p>
            <w:pPr>
              <w:pStyle w:val="Compact"/>
            </w:pPr>
            <w:r>
              <w:t xml:space="preserve">WEM pulse.csv</w:t>
            </w:r>
          </w:p>
        </w:tc>
        <w:tc>
          <w:tcPr/>
          <w:p>
            <w:pPr>
              <w:pStyle w:val="Compact"/>
            </w:pPr>
            <w:r>
              <w:t xml:space="preserve">25 minutes</w:t>
            </w:r>
          </w:p>
        </w:tc>
        <w:tc>
          <w:tcPr/>
          <w:p>
            <w:pPr>
              <w:pStyle w:val="Compact"/>
            </w:pPr>
            <w:r>
              <w:t xml:space="preserve">60 seconds</w:t>
            </w:r>
          </w:p>
        </w:tc>
      </w:tr>
      <w:tr>
        <w:tc>
          <w:tcPr/>
          <w:p>
            <w:pPr>
              <w:pStyle w:val="Compact"/>
            </w:pPr>
            <w:r>
              <w:t xml:space="preserve">WEM generation.csv</w:t>
            </w:r>
          </w:p>
        </w:tc>
        <w:tc>
          <w:tcPr/>
          <w:p>
            <w:pPr>
              <w:pStyle w:val="Compact"/>
            </w:pPr>
            <w:r>
              <w:t xml:space="preserve">55 minutes</w:t>
            </w:r>
          </w:p>
        </w:tc>
        <w:tc>
          <w:tcPr/>
          <w:p>
            <w:pPr>
              <w:pStyle w:val="Compact"/>
            </w:pPr>
            <w:r>
              <w:t xml:space="preserve">60 seconds</w:t>
            </w:r>
          </w:p>
        </w:tc>
      </w:tr>
      <w:tr>
        <w:tc>
          <w:tcPr/>
          <w:p>
            <w:pPr>
              <w:pStyle w:val="Compact"/>
            </w:pPr>
            <w:r>
              <w:t xml:space="preserve">WEM facility metadata</w:t>
            </w:r>
          </w:p>
        </w:tc>
        <w:tc>
          <w:tcPr/>
          <w:p>
            <w:pPr>
              <w:pStyle w:val="Compact"/>
            </w:pPr>
            <w:r>
              <w:t xml:space="preserve">1 hour</w:t>
            </w:r>
          </w:p>
        </w:tc>
        <w:tc>
          <w:tcPr/>
          <w:p>
            <w:pPr>
              <w:pStyle w:val="Compact"/>
            </w:pPr>
            <w:r>
              <w:t xml:space="preserve">60 seconds</w:t>
            </w:r>
          </w:p>
        </w:tc>
      </w:tr>
    </w:tbl>
    <w:bookmarkEnd w:id="102"/>
    <w:bookmarkStart w:id="103" w:name="wem-api-quirks"/>
    <w:p>
      <w:pPr>
        <w:pStyle w:val="Heading3"/>
      </w:pPr>
      <w:r>
        <w:t xml:space="preserve">WEM API Quirks</w:t>
      </w:r>
    </w:p>
    <w:p>
      <w:pPr>
        <w:pStyle w:val="Compact"/>
        <w:numPr>
          <w:ilvl w:val="0"/>
          <w:numId w:val="1019"/>
        </w:numPr>
      </w:pPr>
      <w:r>
        <w:rPr>
          <w:b/>
          <w:bCs/>
        </w:rPr>
        <w:t xml:space="preserve">Accept header required:</w:t>
      </w:r>
      <w:r>
        <w:t xml:space="preserve"> </w:t>
      </w:r>
      <w:r>
        <w:t xml:space="preserve">WEM’s IIS server returns 406 unless a browser-style Accept header is sent</w:t>
      </w:r>
    </w:p>
    <w:p>
      <w:pPr>
        <w:pStyle w:val="Compact"/>
        <w:numPr>
          <w:ilvl w:val="0"/>
          <w:numId w:val="1019"/>
        </w:numPr>
      </w:pPr>
      <w:r>
        <w:rPr>
          <w:b/>
          <w:bCs/>
        </w:rPr>
        <w:t xml:space="preserve">CSV format:</w:t>
      </w:r>
      <w:r>
        <w:t xml:space="preserve"> </w:t>
      </w:r>
      <w:r>
        <w:t xml:space="preserve">All WEM data is CSV (not JSON)</w:t>
      </w:r>
    </w:p>
    <w:p>
      <w:pPr>
        <w:pStyle w:val="Compact"/>
        <w:numPr>
          <w:ilvl w:val="0"/>
          <w:numId w:val="1019"/>
        </w:numPr>
      </w:pPr>
      <w:r>
        <w:rPr>
          <w:b/>
          <w:bCs/>
        </w:rPr>
        <w:t xml:space="preserve">No JSON APIs:</w:t>
      </w:r>
      <w:r>
        <w:t xml:space="preserve"> </w:t>
      </w:r>
      <w:r>
        <w:t xml:space="preserve">Historical JSON endpoints (ReferenceTradingPrice, EssentialServicesPricing) return 404</w:t>
      </w:r>
    </w:p>
    <w:bookmarkEnd w:id="103"/>
    <w:bookmarkStart w:id="104" w:name="compare-mode-3"/>
    <w:p>
      <w:pPr>
        <w:pStyle w:val="Heading3"/>
      </w:pPr>
      <w:r>
        <w:t xml:space="preserve">Compare Mode</w:t>
      </w:r>
    </w:p>
    <w:p>
      <w:pPr>
        <w:pStyle w:val="FirstParagraph"/>
      </w:pPr>
      <w:r>
        <w:t xml:space="preserve">Available on:</w:t>
      </w:r>
      <w:r>
        <w:t xml:space="preserve"> </w:t>
      </w:r>
      <w:r>
        <w:rPr>
          <w:b/>
          <w:bCs/>
        </w:rPr>
        <w:t xml:space="preserve">Price and Demand</w:t>
      </w:r>
      <w:r>
        <w:t xml:space="preserve">,</w:t>
      </w:r>
      <w:r>
        <w:t xml:space="preserve"> </w:t>
      </w:r>
      <w:r>
        <w:rPr>
          <w:b/>
          <w:bCs/>
        </w:rPr>
        <w:t xml:space="preserve">Fuel Mix</w:t>
      </w:r>
      <w:r>
        <w:t xml:space="preserve">, and</w:t>
      </w:r>
      <w:r>
        <w:t xml:space="preserve"> </w:t>
      </w:r>
      <w:r>
        <w:rPr>
          <w:b/>
          <w:bCs/>
        </w:rPr>
        <w:t xml:space="preserve">Renewable Penetration</w:t>
      </w:r>
    </w:p>
    <w:p>
      <w:pPr>
        <w:pStyle w:val="Compact"/>
        <w:numPr>
          <w:ilvl w:val="0"/>
          <w:numId w:val="1020"/>
        </w:numPr>
      </w:pPr>
      <w:r>
        <w:t xml:space="preserve">XY charts use overlaid series with region-specific colours</w:t>
      </w:r>
    </w:p>
    <w:p>
      <w:pPr>
        <w:pStyle w:val="Compact"/>
        <w:numPr>
          <w:ilvl w:val="0"/>
          <w:numId w:val="1020"/>
        </w:numPr>
      </w:pPr>
      <w:r>
        <w:t xml:space="preserve">Pie/donut charts use side-by-side positioning with adaptive sizing</w:t>
      </w:r>
    </w:p>
    <w:p>
      <w:pPr>
        <w:pStyle w:val="Compact"/>
        <w:numPr>
          <w:ilvl w:val="0"/>
          <w:numId w:val="1020"/>
        </w:numPr>
      </w:pPr>
      <w:r>
        <w:t xml:space="preserve">Radius shrinks gracefully as more regions are selected</w:t>
      </w:r>
    </w:p>
    <w:bookmarkEnd w:id="104"/>
    <w:bookmarkEnd w:id="105"/>
    <w:bookmarkEnd w:id="10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26" Target="media/rId26.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9" Target="media/rId49.png" /><Relationship Type="http://schemas.openxmlformats.org/officeDocument/2006/relationships/image" Id="rId54" Target="media/rId54.png" /><Relationship Type="http://schemas.openxmlformats.org/officeDocument/2006/relationships/image" Id="rId60" Target="media/rId60.png" /><Relationship Type="http://schemas.openxmlformats.org/officeDocument/2006/relationships/image" Id="rId65" Target="media/rId65.png" /><Relationship Type="http://schemas.openxmlformats.org/officeDocument/2006/relationships/image" Id="rId70" Target="media/rId70.png" /><Relationship Type="http://schemas.openxmlformats.org/officeDocument/2006/relationships/image" Id="rId75" Target="media/rId75.png" /><Relationship Type="http://schemas.openxmlformats.org/officeDocument/2006/relationships/image" Id="rId80" Target="media/rId80.png" /><Relationship Type="http://schemas.openxmlformats.org/officeDocument/2006/relationships/image" Id="rId85" Target="media/rId85.png" /><Relationship Type="http://schemas.openxmlformats.org/officeDocument/2006/relationships/image" Id="rId90" Target="media/rId90.png" /><Relationship Type="http://schemas.openxmlformats.org/officeDocument/2006/relationships/image" Id="rId95" Target="media/rId9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AEMOVis Walkthrough</dc:title>
  <dc:creator/>
  <cp:keywords/>
  <dcterms:created xsi:type="dcterms:W3CDTF">2026-02-05T06:30:39Z</dcterms:created>
  <dcterms:modified xsi:type="dcterms:W3CDTF">2026-02-05T06:30:39Z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February 2026</vt:lpwstr>
  </property>
  <property fmtid="{D5CDD505-2E9C-101B-9397-08002B2CF9AE}" pid="3" name="subtitle">
    <vt:lpwstr>Australian Energy Market Visualisation</vt:lpwstr>
  </property>
</Properties>
</file>