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rial" w:hAnsi="Arial" w:eastAsia="Microsoft YaHei"/>
          <w:b/>
          <w:color w:val="1F4E79"/>
          <w:sz w:val="44"/>
        </w:rPr>
        <w:t>西威尔士集水区监测系统</w:t>
      </w:r>
    </w:p>
    <w:p>
      <w:pPr>
        <w:jc w:val="center"/>
      </w:pPr>
      <w:r>
        <w:rPr>
          <w:rFonts w:ascii="Arial" w:hAnsi="Arial" w:eastAsia="Microsoft YaHei"/>
          <w:b/>
          <w:color w:val="2F5597"/>
          <w:sz w:val="32"/>
        </w:rPr>
        <w:t>第三方传感器 API 对接技术说明（中文）</w:t>
      </w:r>
    </w:p>
    <w:p>
      <w:pPr>
        <w:jc w:val="center"/>
      </w:pPr>
      <w:r>
        <w:rPr>
          <w:rFonts w:ascii="Arial" w:hAnsi="Arial" w:eastAsia="Microsoft YaHei"/>
          <w:color w:val="5A5A5A"/>
          <w:sz w:val="21"/>
        </w:rPr>
        <w:t>基于 Ceredigion County Council 当前监测平台及 ClearWater / HydroVu 集成经验整理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16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92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文档用途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供传感器供应商、数据平台团队和现场管理人员理解系统架构与 API 对接要求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关联平台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West Wales Catchment Monitoring Portal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平台链接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https://www.ceredigion.gov.uk/public/csr/west_wales_catchment_dashboard_en.html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整理日期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2026-04-22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适用对象</w:t>
            </w:r>
          </w:p>
        </w:tc>
        <w:tc>
          <w:tcPr>
            <w:tcW w:type="dxa" w:w="792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Edore 及相关 API / 数据对接技术团队</w:t>
            </w:r>
          </w:p>
        </w:tc>
      </w:tr>
    </w:tbl>
    <w:p/>
    <w:p>
      <w:pPr>
        <w:spacing w:before="120" w:after="80"/>
      </w:pPr>
      <w:r>
        <w:rPr>
          <w:rFonts w:ascii="Arial" w:hAnsi="Arial" w:eastAsia="Microsoft YaHei"/>
          <w:b/>
          <w:color w:val="1F4E79"/>
          <w:sz w:val="24"/>
        </w:rPr>
        <w:t>执行摘要</w:t>
      </w:r>
    </w:p>
    <w:p>
      <w:pPr>
        <w:pStyle w:val="ListBullet"/>
        <w:spacing w:after="60"/>
      </w:pPr>
      <w:r>
        <w:rPr>
          <w:rFonts w:ascii="Arial" w:hAnsi="Arial" w:eastAsia="SimSun"/>
        </w:rPr>
        <w:t>当前中央系统已从 NRW 遥测 API 自动采集河流水位与降雨数据，并按站点建立时间序列数据存储。</w:t>
      </w:r>
    </w:p>
    <w:p>
      <w:pPr>
        <w:pStyle w:val="ListBullet"/>
        <w:spacing w:after="60"/>
      </w:pPr>
      <w:r>
        <w:rPr>
          <w:rFonts w:ascii="Arial" w:hAnsi="Arial" w:eastAsia="SimSun"/>
        </w:rPr>
        <w:t>营养盐与水质数据目前分别接入 ClearWater、HydroVu / AquaTROLL / VuLink 等传感器系统。</w:t>
      </w:r>
    </w:p>
    <w:p>
      <w:pPr>
        <w:pStyle w:val="ListBullet"/>
        <w:spacing w:after="60"/>
      </w:pPr>
      <w:r>
        <w:rPr>
          <w:rFonts w:ascii="Arial" w:hAnsi="Arial" w:eastAsia="SimSun"/>
        </w:rPr>
        <w:t>第三方 API 不需要提供传感器地理位置；现场部署、坐标、维护日志由工作人员在 SharePoint 地图工具中维护。</w:t>
      </w:r>
    </w:p>
    <w:p>
      <w:pPr>
        <w:pStyle w:val="ListBullet"/>
        <w:spacing w:after="60"/>
      </w:pPr>
      <w:r>
        <w:rPr>
          <w:rFonts w:ascii="Arial" w:hAnsi="Arial" w:eastAsia="SimSun"/>
        </w:rPr>
        <w:t>供应商 API 的最低要求是提供唯一设备标识、ISO 8601 时间戳和数值型读数；参数类型与质量标识如能提供则更佳。</w:t>
      </w:r>
    </w:p>
    <w:p>
      <w:pPr>
        <w:pStyle w:val="ListBullet"/>
        <w:spacing w:after="60"/>
      </w:pPr>
      <w:r>
        <w:rPr>
          <w:rFonts w:ascii="Arial" w:hAnsi="Arial" w:eastAsia="SimSun"/>
        </w:rPr>
        <w:t>建议 API 支持按日期范围或增量时间窗口查询，便于平台每日定时轮询并避免重复拉取。</w:t>
      </w:r>
    </w:p>
    <w:p>
      <w:r>
        <w:br w:type="page"/>
      </w:r>
    </w:p>
    <w:p>
      <w:pPr>
        <w:pStyle w:val="Heading1"/>
      </w:pPr>
      <w:r>
        <w:t>1. 项目背景</w:t>
      </w:r>
    </w:p>
    <w:p>
      <w:r>
        <w:t>West Wales Catchment Monitoring Portal 是西威尔士营养管理委员会综合监测计划的一部分，用于在集水区尺度整合水质、营养盐、降雨和河流水位等环境监测数据。平台面向 Cleddau、Tywi、Teifi 等流域提供交互式监测报告、历史趋势分析和多参数叠加展示。</w:t>
      </w:r>
    </w:p>
    <w:p>
      <w:r>
        <w:t>本文将英文邮件中的技术细节整理为中文技术说明，重点说明现有数据平台如何工作、传感器部署信息如何维护，以及第三方传感器 API 需要提供哪些数据字段。</w:t>
      </w:r>
    </w:p>
    <w:p>
      <w:pPr>
        <w:pStyle w:val="SmallNote"/>
        <w:spacing w:after="120"/>
      </w:pPr>
      <w:r>
        <w:rPr>
          <w:rFonts w:ascii="Arial" w:hAnsi="Arial" w:eastAsia="SimSun"/>
          <w:color w:val="5A5A5A"/>
          <w:sz w:val="18"/>
        </w:rPr>
        <w:t>信息来源：用户提供的英文技术邮件；平台背景参考 West Wales Catchment Monitoring Portal 页面。</w:t>
      </w:r>
    </w:p>
    <w:p>
      <w:pPr>
        <w:pStyle w:val="Heading1"/>
      </w:pPr>
      <w:r>
        <w:t>2. 现有中央系统工作方式</w:t>
      </w:r>
    </w:p>
    <w:p>
      <w:r>
        <w:t>中央系统会从 Natural Resources Wales（NRW）的遥测 API 拉取河流水位和降雨数据，并写入后端数据库。每个监测站点都有独立的时间序列数据存储，便于按站点、时间范围和参数进行查询、质控与展示。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59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数据项</w:t>
            </w:r>
          </w:p>
        </w:tc>
        <w:tc>
          <w:tcPr>
            <w:tcW w:type="dxa" w:w="748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timestamp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观测时间，建议使用 ISO 8601 UTC 格式，例如 2026-04-13T14:30:00Z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value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数值型监测读数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quality flag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质量标识或质控状态，用于区分有效、异常或被拒绝的数据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units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读数单位，例如 µg/L-P、mg/L-N、°C、NTU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station identifier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站点或设备唯一标识，用于关联部署地点和参数配置</w:t>
            </w:r>
          </w:p>
        </w:tc>
      </w:tr>
    </w:tbl>
    <w:p/>
    <w:p>
      <w:r>
        <w:t>当前系统已经包含 69 个以上 NRW 站点，并累计存储超过 260 万条读数，覆盖 Cleddau、Tywi 和 Teifi 等集水区。</w:t>
      </w:r>
    </w:p>
    <w:p>
      <w:pPr>
        <w:pStyle w:val="Heading1"/>
      </w:pPr>
      <w:r>
        <w:t>3. 营养盐与水质数据来源</w:t>
      </w:r>
    </w:p>
    <w:p>
      <w:r>
        <w:t>除 NRW 河流水位与降雨数据外，系统还通过 API 接入另外两类传感器系统：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传感器 / 平台</w:t>
            </w:r>
          </w:p>
        </w:tc>
        <w:tc>
          <w:tcPr>
            <w:tcW w:type="dxa" w:w="403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主要参数</w:t>
            </w:r>
          </w:p>
        </w:tc>
        <w:tc>
          <w:tcPr>
            <w:tcW w:type="dxa" w:w="316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连接方式 / API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ClearWater sensors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磷酸盐（Phosphate）、硝酸盐（Nitrate）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通过蜂窝网络（Cell）和 LoRaWAN 数据连接接口接入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HydroVu / AquaTROLL / VuLink sensors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pH、温度、浊度、水深等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通过 HydroVu 云 API 接入</w:t>
            </w:r>
          </w:p>
        </w:tc>
      </w:tr>
    </w:tbl>
    <w:p/>
    <w:p>
      <w:r>
        <w:t>所有来源的数据都会被映射到统一的集水区层级结构中，然后合并生成 HTML 报告。报告支持日期过滤、SAC 合规目标展示，以及多参数叠加图表，便于比较水位、降雨、营养盐和水质指标之间的关系。</w:t>
      </w:r>
    </w:p>
    <w:p>
      <w:pPr>
        <w:pStyle w:val="Heading1"/>
      </w:pPr>
      <w:r>
        <w:t>4. 站点位置、部署与维护管理</w:t>
      </w:r>
    </w:p>
    <w:p>
      <w:r>
        <w:t>传感器部署信息、站点位置、坐标和维护日志由工作人员通过 SharePoint 地图工具维护。该工具的数据会直接进入报告系统，用于服务中断追踪和图表中的维护事件标注。</w:t>
      </w:r>
    </w:p>
    <w:p>
      <w:pPr>
        <w:pStyle w:val="ListBullet"/>
        <w:spacing w:after="60"/>
      </w:pPr>
      <w:r>
        <w:rPr>
          <w:rFonts w:ascii="Arial" w:hAnsi="Arial" w:eastAsia="SimSun"/>
        </w:rPr>
        <w:t>供应商 API 不需要提供位置坐标或部署地点信息。</w:t>
      </w:r>
    </w:p>
    <w:p>
      <w:pPr>
        <w:pStyle w:val="ListBullet"/>
        <w:spacing w:after="60"/>
      </w:pPr>
      <w:r>
        <w:rPr>
          <w:rFonts w:ascii="Arial" w:hAnsi="Arial" w:eastAsia="SimSun"/>
        </w:rPr>
        <w:t>工作人员会在 SharePoint 工具中登记传感器部署信息。</w:t>
      </w:r>
    </w:p>
    <w:p>
      <w:pPr>
        <w:pStyle w:val="ListBullet"/>
        <w:spacing w:after="60"/>
      </w:pPr>
      <w:r>
        <w:rPr>
          <w:rFonts w:ascii="Arial" w:hAnsi="Arial" w:eastAsia="SimSun"/>
        </w:rPr>
        <w:t>系统会通过设备标识把 API 数据与部署登记信息关联起来。</w:t>
      </w:r>
    </w:p>
    <w:p>
      <w:pPr>
        <w:pStyle w:val="ListBullet"/>
        <w:spacing w:after="60"/>
      </w:pPr>
      <w:r>
        <w:rPr>
          <w:rFonts w:ascii="Arial" w:hAnsi="Arial" w:eastAsia="SimSun"/>
        </w:rPr>
        <w:t>维护记录和服务中断状态可以叠加到趋势图上，帮助解释数据异常或缺测。</w:t>
      </w:r>
    </w:p>
    <w:p>
      <w:r>
        <w:t>因此，对接方最关键的任务是提供其系统内部使用的 station_id 或 device_id，确保工作人员能够把传感器设备正确绑定到实际部署地点。</w:t>
      </w:r>
    </w:p>
    <w:p>
      <w:pPr>
        <w:pStyle w:val="Heading1"/>
      </w:pPr>
      <w:r>
        <w:t>5. 第三方 API 对接要求</w:t>
      </w:r>
    </w:p>
    <w:p>
      <w:r>
        <w:t>系统需要一个可定时轮询的 REST API 端点。常规采集频率为每日两次，通常在清晨和下午中段执行。API 返回 JSON 数据即可，字段名称不必与现有系统完全一致，因为平台可以在本侧编写适配器进行转换。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9"/>
        <w:gridCol w:w="2469"/>
        <w:gridCol w:w="2469"/>
        <w:gridCol w:w="2469"/>
      </w:tblGrid>
      <w:tr>
        <w:tc>
          <w:tcPr>
            <w:tcW w:type="dxa" w:w="230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144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是否必需</w:t>
            </w:r>
          </w:p>
        </w:tc>
        <w:tc>
          <w:tcPr>
            <w:tcW w:type="dxa" w:w="259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示例</w:t>
            </w:r>
          </w:p>
        </w:tc>
        <w:tc>
          <w:tcPr>
            <w:tcW w:type="dxa" w:w="3744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timestamp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必需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2026-04-13T14:30:00Z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观测时间，建议使用 ISO 8601 UTC 格式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value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必需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21.48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数值型读数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units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建议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µg/L-P、mg/L-N、°C、NTU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读数单位，便于跨参数统一展示与校验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station_id / device_id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必需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269 或 EDORE-001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每个传感器或站点的唯一标识，用于关联 SharePoint 部署登记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parameter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建议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Phosphate、Nitrate、pH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如果供应商系统知道参数类型，建议直接提供；否则可由 SharePoint 登记解析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quality_flag / qc_status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可选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accepted、rejected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如供应商已有质控结果，平台会保留并展示；否则由平台侧规则处理</w:t>
            </w:r>
          </w:p>
        </w:tc>
      </w:tr>
    </w:tbl>
    <w:p/>
    <w:p>
      <w:pPr>
        <w:pStyle w:val="Heading1"/>
      </w:pPr>
      <w:r>
        <w:t>6. 日期范围与增量采集</w:t>
      </w:r>
    </w:p>
    <w:p>
      <w:r>
        <w:t>建议 API 支持日期范围参数，使平台能够只请求上一次采集之后的新数据，减少重复数据传输和后端去重压力。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88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建议能力</w:t>
            </w:r>
          </w:p>
        </w:tc>
        <w:tc>
          <w:tcPr>
            <w:tcW w:type="dxa" w:w="7200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start_time / from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查询起始时间，ISO 8601 格式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end_time / to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查询结束时间，ISO 8601 格式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device_id 可选过滤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如 API 支持按设备查询，可减少返回数据量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分页或批量限制</w:t>
            </w:r>
          </w:p>
        </w:tc>
        <w:tc>
          <w:tcPr>
            <w:tcW w:type="dxa" w:w="7200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当数据量较大时，建议提供 pagination、limit 或 cursor</w:t>
            </w:r>
          </w:p>
        </w:tc>
      </w:tr>
    </w:tbl>
    <w:p/>
    <w:p>
      <w:pPr>
        <w:pStyle w:val="Heading1"/>
      </w:pPr>
      <w:r>
        <w:t>7. ClearWater 现有集成样例</w:t>
      </w:r>
    </w:p>
    <w:p>
      <w:r>
        <w:t>下面是当前 ClearWater 传感器集成中的真实原始读数示例。可以看到，原始数据中没有直接给出参数类型，系统通过 SharePoint 部署登记判断该传感器代表的监测参数和地点。</w:t>
      </w:r>
    </w:p>
    <w:p>
      <w:pPr>
        <w:pStyle w:val="CodeBlock"/>
        <w:spacing w:before="60" w:after="160" w:line="252" w:lineRule="auto"/>
        <w:ind w:left="259" w:right="259"/>
        <w:shd w:fill="F3F6FA"/>
      </w:pPr>
      <w:r>
        <w:rPr>
          <w:rFonts w:ascii="Consolas" w:hAnsi="Consolas" w:eastAsia="Microsoft YaHei"/>
          <w:color w:val="282828"/>
          <w:sz w:val="18"/>
        </w:rPr>
        <w:t>{</w:t>
        <w:br/>
        <w:t xml:space="preserve">  "serial_number": 269,</w:t>
        <w:br/>
        <w:t xml:space="preserve">  "timestamp": "2026-03-31T12:14:41Z",</w:t>
        <w:br/>
        <w:t xml:space="preserve">  "concentration": 0.693,</w:t>
        <w:br/>
        <w:t xml:space="preserve">  "calibration_value": 0.0412,</w:t>
        <w:br/>
        <w:t xml:space="preserve">  "min_range": 0.0412,</w:t>
        <w:br/>
        <w:t xml:space="preserve">  "battery_voltage": 13.1,</w:t>
        <w:br/>
        <w:t xml:space="preserve">  "sensor_housing_temp": 15.0</w:t>
        <w:br/>
        <w:t>}</w:t>
      </w:r>
    </w:p>
    <w:p>
      <w:r>
        <w:t>经过质控和业务映射处理后，该读数会转换为如下结构：</w:t>
      </w:r>
    </w:p>
    <w:p>
      <w:pPr>
        <w:pStyle w:val="CodeBlock"/>
        <w:spacing w:before="60" w:after="160" w:line="252" w:lineRule="auto"/>
        <w:ind w:left="259" w:right="259"/>
        <w:shd w:fill="F3F6FA"/>
      </w:pPr>
      <w:r>
        <w:rPr>
          <w:rFonts w:ascii="Consolas" w:hAnsi="Consolas" w:eastAsia="Microsoft YaHei"/>
          <w:color w:val="282828"/>
          <w:sz w:val="18"/>
        </w:rPr>
        <w:t>{</w:t>
        <w:br/>
        <w:t xml:space="preserve">  "serial_number": 269,</w:t>
        <w:br/>
        <w:t xml:space="preserve">  "location": "New Quay",</w:t>
        <w:br/>
        <w:t xml:space="preserve">  "nutrient_type": "Phosphate Reading",</w:t>
        <w:br/>
        <w:t xml:space="preserve">  "timestamp": "2026-03-31T12:14:41Z",</w:t>
        <w:br/>
        <w:t xml:space="preserve">  "phosphate_concentration_ugL_P": 21.48,</w:t>
        <w:br/>
        <w:t xml:space="preserve">  "qc_status": "Accepted: Passed QC"</w:t>
        <w:br/>
        <w:t>}</w:t>
      </w:r>
    </w:p>
    <w:p>
      <w:r>
        <w:t>如果读数未通过质控，系统会记录拒绝原因，例如 “Rejected: Suspected low-tide air exposure”，并在图表中与已接受数据分开展示。</w:t>
      </w:r>
    </w:p>
    <w:p>
      <w:pPr>
        <w:pStyle w:val="Heading1"/>
      </w:pPr>
      <w:r>
        <w:t>8. 对 Edore / 供应商 API 的最低交付要求</w:t>
      </w:r>
    </w:p>
    <w:p>
      <w:r>
        <w:t>供应商 API 不需要复制 ClearWater 的字段结构；平台可以在本侧开发适配器。最低要求如下：</w:t>
      </w:r>
    </w:p>
    <w:p>
      <w:pPr>
        <w:pStyle w:val="ListNumber"/>
        <w:spacing w:after="60"/>
      </w:pPr>
      <w:r>
        <w:rPr>
          <w:rFonts w:ascii="Arial" w:hAnsi="Arial" w:eastAsia="SimSun"/>
        </w:rPr>
        <w:t>提供稳定、唯一的传感器或站点标识，例如 station_id、device_id 或 serial_number。</w:t>
      </w:r>
    </w:p>
    <w:p>
      <w:pPr>
        <w:pStyle w:val="ListNumber"/>
        <w:spacing w:after="60"/>
      </w:pPr>
      <w:r>
        <w:rPr>
          <w:rFonts w:ascii="Arial" w:hAnsi="Arial" w:eastAsia="SimSun"/>
        </w:rPr>
        <w:t>提供每条读数的时间戳，建议使用 UTC ISO 8601 格式。</w:t>
      </w:r>
    </w:p>
    <w:p>
      <w:pPr>
        <w:pStyle w:val="ListNumber"/>
        <w:spacing w:after="60"/>
      </w:pPr>
      <w:r>
        <w:rPr>
          <w:rFonts w:ascii="Arial" w:hAnsi="Arial" w:eastAsia="SimSun"/>
        </w:rPr>
        <w:t>提供数值型监测读数。</w:t>
      </w:r>
    </w:p>
    <w:p>
      <w:pPr>
        <w:pStyle w:val="ListNumber"/>
        <w:spacing w:after="60"/>
      </w:pPr>
      <w:r>
        <w:rPr>
          <w:rFonts w:ascii="Arial" w:hAnsi="Arial" w:eastAsia="SimSun"/>
        </w:rPr>
        <w:t>尽可能提供读数单位，避免不同参数或换算规则产生歧义。</w:t>
      </w:r>
    </w:p>
    <w:p>
      <w:pPr>
        <w:pStyle w:val="ListNumber"/>
        <w:spacing w:after="60"/>
      </w:pPr>
      <w:r>
        <w:rPr>
          <w:rFonts w:ascii="Arial" w:hAnsi="Arial" w:eastAsia="SimSun"/>
        </w:rPr>
        <w:t>如系统掌握参数类型，请提供 parameter 字段；如不提供，平台会通过 SharePoint 部署登记解析。</w:t>
      </w:r>
    </w:p>
    <w:p>
      <w:pPr>
        <w:pStyle w:val="ListNumber"/>
        <w:spacing w:after="60"/>
      </w:pPr>
      <w:r>
        <w:rPr>
          <w:rFonts w:ascii="Arial" w:hAnsi="Arial" w:eastAsia="SimSun"/>
        </w:rPr>
        <w:t>如系统已有质控状态，请提供 quality_flag 或 qc_status；如不提供，平台会在处理阶段应用本地质控规则。</w:t>
      </w:r>
    </w:p>
    <w:p>
      <w:pPr>
        <w:pStyle w:val="ListNumber"/>
        <w:spacing w:after="60"/>
      </w:pPr>
      <w:r>
        <w:rPr>
          <w:rFonts w:ascii="Arial" w:hAnsi="Arial" w:eastAsia="SimSun"/>
        </w:rPr>
        <w:t>建议支持按日期范围查询，便于每日定时增量采集。</w:t>
      </w:r>
    </w:p>
    <w:p>
      <w:pPr>
        <w:pStyle w:val="Heading1"/>
      </w:pPr>
      <w:r>
        <w:t>9. 集水区范围与后续扩展</w:t>
      </w:r>
    </w:p>
    <w:p>
      <w:r>
        <w:t>当前 Cleddau 和 Tywi 已有完整报告基础设施；Teifi 也在现有监测门户范围内。Martin 提到的 Loughor 目前尚未作为独立报告上线，但已在路线图中，后续可按类似模式扩展。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2592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集水区</w:t>
            </w:r>
          </w:p>
        </w:tc>
        <w:tc>
          <w:tcPr>
            <w:tcW w:type="dxa" w:w="7488"/>
            <w:vAlign w:val="center"/>
            <w:shd w:fill="1F4E79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color w:val="FFFFFF"/>
                <w:sz w:val="19"/>
              </w:rPr>
              <w:t>当前状态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Cleddau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已有完整报告基础设施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Tywi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已有完整报告基础设施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Teifi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已在当前门户和数据体系中覆盖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Loughor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SimSun"/>
                <w:b w:val="0"/>
                <w:sz w:val="19"/>
              </w:rPr>
              <w:t>尚未作为独立报告上线，已列入后续路线图</w:t>
            </w:r>
          </w:p>
        </w:tc>
      </w:tr>
    </w:tbl>
    <w:p/>
    <w:p>
      <w:pPr>
        <w:pStyle w:val="Heading1"/>
      </w:pPr>
      <w:r>
        <w:t>10. 建议的 API 返回示例</w:t>
      </w:r>
    </w:p>
    <w:p>
      <w:r>
        <w:t>以下是更适合第三方对接的通用 JSON 示例。字段名可调整，但语义应保持一致。</w:t>
      </w:r>
    </w:p>
    <w:p>
      <w:pPr>
        <w:pStyle w:val="CodeBlock"/>
        <w:spacing w:before="60" w:after="160" w:line="252" w:lineRule="auto"/>
        <w:ind w:left="259" w:right="259"/>
        <w:shd w:fill="F3F6FA"/>
      </w:pPr>
      <w:r>
        <w:rPr>
          <w:rFonts w:ascii="Consolas" w:hAnsi="Consolas" w:eastAsia="Microsoft YaHei"/>
          <w:color w:val="282828"/>
          <w:sz w:val="18"/>
        </w:rPr>
        <w:t>{</w:t>
        <w:br/>
        <w:t xml:space="preserve">  "device_id": "EDORE-001",</w:t>
        <w:br/>
        <w:t xml:space="preserve">  "timestamp": "2026-04-13T14:30:00Z",</w:t>
        <w:br/>
        <w:t xml:space="preserve">  "parameter": "Phosphate",</w:t>
        <w:br/>
        <w:t xml:space="preserve">  "value": 21.48,</w:t>
        <w:br/>
        <w:t xml:space="preserve">  "units": "µg/L-P",</w:t>
        <w:br/>
        <w:t xml:space="preserve">  "qc_status": "accepted"</w:t>
        <w:br/>
        <w:t>}</w:t>
      </w:r>
    </w:p>
    <w:p>
      <w:pPr>
        <w:pStyle w:val="Heading1"/>
      </w:pPr>
      <w:r>
        <w:t>11. 对接结论</w:t>
      </w:r>
    </w:p>
    <w:p>
      <w:r>
        <w:t>总体而言，Edore 或其他供应商只需提供可轮询的 REST JSON API，并保证每条读数包含唯一设备标识、时间戳和数值。位置、部署、维护和参数映射可以由现有 SharePoint 工具和平台适配层处理。若 API 能额外提供参数类型、单位、质控状态和日期范围查询，将显著降低对接复杂度并提升数据质量可追溯性。</w:t>
      </w:r>
    </w:p>
    <w:p>
      <w:pPr>
        <w:spacing w:before="240" w:after="0"/>
      </w:pPr>
      <w:r>
        <w:rPr>
          <w:rFonts w:ascii="Arial" w:hAnsi="Arial" w:eastAsia="SimSun"/>
          <w:color w:val="5A5A5A"/>
          <w:sz w:val="18"/>
        </w:rPr>
        <w:t>联系方式（原邮件）：Clifford Shapland，Digital Development Officer，Ceredigion County Council，clifford.shapland@ceredigion.gov.uk</w:t>
      </w:r>
    </w:p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Microsoft YaHei"/>
      <w:b w:val="0"/>
      <w:i/>
      <w:iCs/>
      <w:color w:val="55555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Microsoft YaHei"/>
      <w:color w:val="282828"/>
      <w:sz w:val="18"/>
    </w:rPr>
  </w:style>
  <w:style w:type="paragraph" w:customStyle="1" w:styleId="SmallNote">
    <w:name w:val="SmallNote"/>
    <w:rPr>
      <w:rFonts w:ascii="Arial" w:hAnsi="Arial" w:eastAsia="SimSun"/>
      <w:color w:val="5A5A5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西威尔士集水区监测系统第三方传感器 API 对接技术说明</dc:title>
  <dc:subject>中文技术说明文档</dc:subject>
  <dc:creator>Codex</dc:creator>
  <cp:keywords>West Wales, Catchment Monitoring, API, Sensor, Chinese, Technical Brief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