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徐元秀</w:t>
      </w:r>
      <w:r>
        <w:br w:type="textWrapping"/>
      </w:r>
      <w:r>
        <w:t xml:space="preserve">                           放   疗  号:   4295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46</w:t>
      </w:r>
      <w:r>
        <w:br w:type="textWrapping"/>
      </w:r>
      <w:r>
        <w:t xml:space="preserve">                           住   院  号:  0007389511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徐元秀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55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0007389511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>2018-11-02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1、右乳浸润性癌新辅助化疗后骨转移、颅内转移（T2N3M1 IV 期）  2、肺部恶性治肿瘤伽马刀治疗后（原发 ？ 转移？）  3、化疗后骨髓抑制。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1、右乳浸润性癌新辅助化疗后骨转移、颅内转移（T2N3M1 IV 期）  2、肺部恶性治肿瘤伽马刀治疗后（原发 ？ 转移？）  3、化疗后骨髓抑制。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颅内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1、右乳浸润性癌新辅助化疗后骨转移、颅内转移（T2N3M1 IV 期）  2、肺部恶性治肿瘤伽马刀治疗后（原发 ？ 转移？）  3、化疗后骨髓抑制。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