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晋荣斌</w:t>
      </w:r>
      <w:r>
        <w:br w:type="textWrapping"/>
      </w:r>
      <w:r>
        <w:t xml:space="preserve">                           放   疗  号:   4281</w:t>
      </w:r>
      <w:r>
        <w:br w:type="textWrapping"/>
      </w:r>
      <w:r>
        <w:t xml:space="preserve">                           科       别:   胸外</w:t>
      </w:r>
      <w:r>
        <w:br w:type="textWrapping"/>
      </w:r>
      <w:r>
        <w:t xml:space="preserve">                           床       号:    9</w:t>
      </w:r>
      <w:r>
        <w:br w:type="textWrapping"/>
      </w:r>
      <w:r>
        <w:t xml:space="preserve">                           住   院  号:  0007633424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晋荣斌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50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0007633424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食管中下段中分化鳞癌（T4N2M0 IIIc期）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食管中下段中分化鳞癌（T4N2M0 IIIc期）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食管癌术后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食管中下段中分化鳞癌（T4N2M0 IIIc期）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