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20181031</w:t>
      </w:r>
    </w:p>
    <w:p>
      <w:pPr>
        <w:jc w:val="left"/>
      </w:pPr>
      <w:r>
        <w:rPr>
          <w:sz w:val="22"/>
        </w:rPr>
        <w:t xml:space="preserve">      患者张秀金，女性，52岁，目前初步诊断：右肺中低分化腺癌术后多程放化疗后颅内转移。患者颅内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U型面膜+体架固定体位，经TPS治疗计划系统，针对颅内区域，经计算优化避开危及器官,以95%等剂量曲线包饶CTV,设4个不规则大面积照射野，计划36Gy/18f，在复位条件下，经模拟机透视验证计划后，并于今日开始行颅内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1970-08-27</w:t>
      </w:r>
    </w:p>
    <w:p>
      <w:pPr>
        <w:jc w:val="left"/>
      </w:pPr>
      <w:r>
        <w:rPr>
          <w:sz w:val="22"/>
        </w:rPr>
        <w:t xml:space="preserve">      患者目前已行颅内放疗5次，累积剂量10.0Gy/5F，患者目前一般状况尚可,无明显不适,食欲可,睡眠可，受照区无色素沉着，表皮完整无破溃。继续放疗,继续对症支持治疗,定期复查血常规。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1970-09-03</w:t>
      </w:r>
    </w:p>
    <w:p>
      <w:pPr>
        <w:jc w:val="left"/>
      </w:pPr>
      <w:r>
        <w:rPr>
          <w:sz w:val="22"/>
        </w:rPr>
        <w:t xml:space="preserve">      患者目前已行颅内放疗10次，累积剂量20.0Gy/10F，患者目前一般状况尚可,无明显不适,食欲可,睡眠可，受照区轻度色素沉着，表皮完整无破溃。继续放疗,继续对症支持治疗,定期复查血常规。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1970-09-10</w:t>
      </w:r>
    </w:p>
    <w:p>
      <w:pPr>
        <w:jc w:val="left"/>
      </w:pPr>
      <w:r>
        <w:rPr>
          <w:sz w:val="22"/>
        </w:rPr>
        <w:t xml:space="preserve">      患者目前颅内已放疗18次，局部累积30.0Gy/18F, 患者目前一般状况尚可，生命体征平稳，精神良好，，受照区轻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