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2018-09-27</w:t>
      </w:r>
    </w:p>
    <w:p>
      <w:pPr>
        <w:jc w:val="left"/>
      </w:pPr>
      <w:r>
        <w:rPr>
          <w:sz w:val="22"/>
        </w:rPr>
        <w:t xml:space="preserve">      患者施尚友，男性，53岁，目前初步诊断：食管下端癌伴锁骨上淋巴结转移放疗后骨转移。患者颅骨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U型面膜+体架固定体位，经TPS治疗计划系统，针对颅骨区域，经计算优化避开危及器官,以95%等剂量曲线包饶CTV,设4个不规则大面积照射野，计划40Gy/20f，在复位条件下，经模拟机透视验证计划后，并于今日开始行颅骨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2018-10-03</w:t>
      </w:r>
    </w:p>
    <w:p>
      <w:pPr>
        <w:jc w:val="left"/>
      </w:pPr>
      <w:r>
        <w:rPr>
          <w:sz w:val="22"/>
        </w:rPr>
        <w:t xml:space="preserve">      患者目前已行颅骨放疗5次，累积剂量10.0Gy/5F，患者目前一般状况尚可,无明显不适,食欲可,睡眠可，受照区无色素沉着，表皮完整无破溃。继续放疗,继续对症支持治疗,定期复查血常规。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2018-10-10</w:t>
      </w:r>
    </w:p>
    <w:p>
      <w:pPr>
        <w:jc w:val="left"/>
      </w:pPr>
      <w:r>
        <w:rPr>
          <w:sz w:val="22"/>
        </w:rPr>
        <w:t xml:space="preserve">      患者目前已行颅骨放疗10次，累积剂量20.0Gy/10F，患者目前一般状况尚可,无明显不适,食欲可,睡眠可，受照区轻度色素沉着，表皮完整无破溃。继续放疗,继续对症支持治疗,定期复查血常规。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2018-10-17</w:t>
      </w:r>
    </w:p>
    <w:p>
      <w:pPr>
        <w:jc w:val="left"/>
      </w:pPr>
      <w:r>
        <w:rPr>
          <w:sz w:val="22"/>
        </w:rPr>
        <w:t xml:space="preserve">      患者目前已行颅骨放疗15次，累积剂量30.0Gy/15F，患者目前一般状况尚可,无明显不适,食欲可,睡眠可，受照区轻度色素沉着，表皮完整无破溃。继续放疗,继续对症支持治疗,定期复查血常规。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2018-10-24</w:t>
      </w:r>
    </w:p>
    <w:p>
      <w:pPr>
        <w:jc w:val="left"/>
      </w:pPr>
      <w:r>
        <w:rPr>
          <w:sz w:val="22"/>
        </w:rPr>
        <w:t xml:space="preserve">      患者目前颅骨已放疗20次，局部累积40.0Gy/20F, 患者目前一般状况尚可，生命体征平稳，精神良好，，受照区轻度色素沉着，轻度发红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