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2018-09-21</w:t>
      </w:r>
    </w:p>
    <w:p>
      <w:pPr>
        <w:jc w:val="left"/>
      </w:pPr>
      <w:r>
        <w:rPr>
          <w:sz w:val="22"/>
        </w:rPr>
        <w:t xml:space="preserve">      患者林发平，男性，43岁，目前初步诊断：上腭鳞状细胞癌术后。患者上颚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U型面膜+体架固定体位，经TPS治疗计划系统，针对上颚区域，经计算优化避开危及器官,以95%等剂量曲线包饶CTV,设4个不规则大面积照射野，计划50Gy/25f，在复位条件下，经模拟机透视验证计划后，并于今日开始行上颚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2018-09-27</w:t>
      </w:r>
    </w:p>
    <w:p>
      <w:pPr>
        <w:jc w:val="left"/>
      </w:pPr>
      <w:r>
        <w:rPr>
          <w:sz w:val="22"/>
        </w:rPr>
        <w:t xml:space="preserve">      患者目前已行上颚放疗5次，累积剂量10.0Gy/5F，患者目前一般状况尚可,无明显不适,食欲可,睡眠可，受照区无色素沉着，表皮完整无破溃。继续放疗,继续对症支持治疗,定期复查血常规。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2018-10-04</w:t>
      </w:r>
    </w:p>
    <w:p>
      <w:pPr>
        <w:jc w:val="left"/>
      </w:pPr>
      <w:r>
        <w:rPr>
          <w:sz w:val="22"/>
        </w:rPr>
        <w:t xml:space="preserve">      患者目前已行上颚放疗10次，累积剂量20.0Gy/10F，患者目前一般状况尚可,无明显不适,食欲可,睡眠可，受照区轻度色素沉着，表皮完整无破溃。继续放疗,继续对症支持治疗,定期复查血常规。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2018-10-11</w:t>
      </w:r>
    </w:p>
    <w:p>
      <w:pPr>
        <w:jc w:val="left"/>
      </w:pPr>
      <w:r>
        <w:rPr>
          <w:sz w:val="22"/>
        </w:rPr>
        <w:t xml:space="preserve">      患者目前已行上颚放疗15次，累积剂量30.0Gy/15F，患者目前一般状况尚可,无明显不适,食欲可,睡眠可，受照区轻度色素沉着，表皮完整无破溃。继续放疗,继续对症支持治疗,定期复查血常规。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2018-10-18</w:t>
      </w:r>
    </w:p>
    <w:p>
      <w:pPr>
        <w:jc w:val="left"/>
      </w:pPr>
      <w:r>
        <w:rPr>
          <w:sz w:val="22"/>
        </w:rPr>
        <w:t xml:space="preserve">      患者目前已行上颚放疗20次，累积剂量40.0Gy/20F，患者目前一般状况尚可,无明显不适,食欲可,睡眠可，受照区轻度色素沉着，轻度发红，表皮完整无破溃。继续放疗,继续对症支持治疗,定期复查血常规。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2018-10-25</w:t>
      </w:r>
    </w:p>
    <w:p>
      <w:pPr>
        <w:jc w:val="left"/>
      </w:pPr>
      <w:r>
        <w:rPr>
          <w:sz w:val="22"/>
        </w:rPr>
        <w:t xml:space="preserve">      患者目前上颚已放疗25次，局部累积50.0Gy/25F, 患者目前一般状况尚可，生命体征平稳，精神良好，，受照区中度色素沉着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