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2018-08-09</w:t>
      </w:r>
    </w:p>
    <w:p>
      <w:pPr>
        <w:jc w:val="left"/>
      </w:pPr>
      <w:r>
        <w:rPr>
          <w:sz w:val="22"/>
        </w:rPr>
        <w:t xml:space="preserve">      患者泽仁永措，女性，43岁，目前初步诊断：1.腹膜后梭形细胞肉瘤术后 T2bN0M0 Gx 2.双附件囊肿 3.慢性支气管炎。。患者右侧腹部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右侧腹部区域，经计算优化避开危及器官,以95%等剂量曲线包饶CTV,设6个不规则大面积照射野，计划45Gy/25f，在复位条件下，经模拟机透视验证计划后，并于今日开始行右侧腹部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2018-08-15</w:t>
      </w:r>
    </w:p>
    <w:p>
      <w:pPr>
        <w:jc w:val="left"/>
      </w:pPr>
      <w:r>
        <w:rPr>
          <w:sz w:val="22"/>
        </w:rPr>
        <w:t xml:space="preserve">      患者目前已行右侧腹部放疗5次，累积剂量9.0Gy/5F，患者目前一般状况尚可,无明显不适,食欲可,睡眠可，受照区无色素沉着，表皮完整无破溃。继续放疗,继续对症支持治疗,定期复查血常规。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2018-08-22</w:t>
      </w:r>
    </w:p>
    <w:p>
      <w:pPr>
        <w:jc w:val="left"/>
      </w:pPr>
      <w:r>
        <w:rPr>
          <w:sz w:val="22"/>
        </w:rPr>
        <w:t xml:space="preserve">      患者目前已行右侧腹部放疗10次，累积剂量18.0Gy/10F，患者目前一般状况尚可,无明显不适,食欲可,睡眠可，受照区轻度色素沉着，表皮完整无破溃。继续放疗,继续对症支持治疗,定期复查血常规。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2018-08-29</w:t>
      </w:r>
    </w:p>
    <w:p>
      <w:pPr>
        <w:jc w:val="left"/>
      </w:pPr>
      <w:r>
        <w:rPr>
          <w:sz w:val="22"/>
        </w:rPr>
        <w:t xml:space="preserve">      患者目前已行右侧腹部放疗15次，累积剂量27.0Gy/15F，患者目前一般状况尚可,无明显不适,食欲可,睡眠可，受照区轻度色素沉着，表皮完整无破溃。继续放疗,继续对症支持治疗,定期复查血常规。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2018-09-05</w:t>
      </w:r>
    </w:p>
    <w:p>
      <w:pPr>
        <w:jc w:val="left"/>
      </w:pPr>
      <w:r>
        <w:rPr>
          <w:sz w:val="22"/>
        </w:rPr>
        <w:t xml:space="preserve">      患者目前已行右侧腹部放疗20次，累积剂量36.0Gy/20F，患者目前一般状况尚可,无明显不适,食欲可,睡眠可，受照区轻度色素沉着，轻度发红，表皮完整无破溃。继续放疗,继续对症支持治疗,定期复查血常规。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2018-09-12</w:t>
      </w:r>
    </w:p>
    <w:p>
      <w:pPr>
        <w:jc w:val="left"/>
      </w:pPr>
      <w:r>
        <w:rPr>
          <w:sz w:val="22"/>
        </w:rPr>
        <w:t xml:space="preserve">      患者目前右侧腹部已放疗25次，局部累积45.0Gy/25F,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