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2018-09-07</w:t>
      </w:r>
    </w:p>
    <w:p>
      <w:pPr>
        <w:jc w:val="left"/>
      </w:pPr>
      <w:r>
        <w:rPr>
          <w:sz w:val="22"/>
        </w:rPr>
        <w:t xml:space="preserve">      患者泽翁卓玛，女性，64岁，目前初步诊断：贲门低分化腺癌。患者贲门低分化腺癌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贲门低分化腺癌区域，经计算优化避开危及器官,以95%等剂量曲线包饶CTV,设5个不规则大面积照射野，计划45Gy/25f，在复位条件下，经模拟机透视验证计划后，并于今日开始行贲门低分化腺癌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2018-09-13</w:t>
      </w:r>
    </w:p>
    <w:p>
      <w:pPr>
        <w:jc w:val="left"/>
      </w:pPr>
      <w:r>
        <w:rPr>
          <w:sz w:val="22"/>
        </w:rPr>
        <w:t xml:space="preserve">      患者目前已行贲门低分化腺癌放疗5次，累积剂量9.0Gy/5F，患者目前一般状况尚可,无明显不适,食欲可,睡眠可，受照区无色素沉着，表皮完整无破溃。继续放疗,继续对症支持治疗,定期复查血常规。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2018-09-20</w:t>
      </w:r>
    </w:p>
    <w:p>
      <w:pPr>
        <w:jc w:val="left"/>
      </w:pPr>
      <w:r>
        <w:rPr>
          <w:sz w:val="22"/>
        </w:rPr>
        <w:t xml:space="preserve">      患者目前已行贲门低分化腺癌放疗10次，累积剂量18.0Gy/10F，患者目前一般状况尚可,无明显不适,食欲可,睡眠可，受照区轻度色素沉着，表皮完整无破溃。继续放疗,继续对症支持治疗,定期复查血常规。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2018-09-27</w:t>
      </w:r>
    </w:p>
    <w:p>
      <w:pPr>
        <w:jc w:val="left"/>
      </w:pPr>
      <w:r>
        <w:rPr>
          <w:sz w:val="22"/>
        </w:rPr>
        <w:t xml:space="preserve">      患者目前已行贲门低分化腺癌放疗15次，累积剂量27.0Gy/15F，患者目前一般状况尚可,无明显不适,食欲可,睡眠可，受照区轻度色素沉着，表皮完整无破溃。继续放疗,继续对症支持治疗,定期复查血常规。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2018-10-04</w:t>
      </w:r>
    </w:p>
    <w:p>
      <w:pPr>
        <w:jc w:val="left"/>
      </w:pPr>
      <w:r>
        <w:rPr>
          <w:sz w:val="22"/>
        </w:rPr>
        <w:t xml:space="preserve">      患者目前已行贲门低分化腺癌放疗20次，累积剂量36.0Gy/20F，患者目前一般状况尚可,无明显不适,食欲可,睡眠可，受照区轻度色素沉着，轻度发红，表皮完整无破溃。继续放疗,继续对症支持治疗,定期复查血常规。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2018-10-11</w:t>
      </w:r>
    </w:p>
    <w:p>
      <w:pPr>
        <w:jc w:val="left"/>
      </w:pPr>
      <w:r>
        <w:rPr>
          <w:sz w:val="22"/>
        </w:rPr>
        <w:t xml:space="preserve">      患者目前贲门低分化腺癌已放疗25次，局部累积45.0Gy/25F,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