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2018-08-02</w:t>
      </w:r>
    </w:p>
    <w:p>
      <w:pPr>
        <w:jc w:val="left"/>
      </w:pPr>
      <w:r>
        <w:rPr>
          <w:sz w:val="22"/>
        </w:rPr>
        <w:t xml:space="preserve">      患者胡伯琼，女性，48岁，目前初步诊断：宫颈低分化鳞癌术后（T2N0M0 IIA期）.。患者盆腔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盆腔区域，经计算优化避开危及器官,以95%等剂量曲线包饶CTV,设6个不规则大面积照射野，计划45Gy/25f，在复位条件下，经模拟机透视验证计划后，并于今日开始行盆腔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2018-08-08</w:t>
      </w:r>
    </w:p>
    <w:p>
      <w:pPr>
        <w:jc w:val="left"/>
      </w:pPr>
      <w:r>
        <w:rPr>
          <w:sz w:val="22"/>
        </w:rPr>
        <w:t xml:space="preserve">      患者目前已行盆腔放疗5次，累积剂量9.0Gy/5F，患者目前一般状况尚可,无明显不适,食欲可,睡眠可，受照区无色素沉着，表皮完整无破溃。继续放疗,继续对症支持治疗,定期复查血常规。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2018-08-15</w:t>
      </w:r>
    </w:p>
    <w:p>
      <w:pPr>
        <w:jc w:val="left"/>
      </w:pPr>
      <w:r>
        <w:rPr>
          <w:sz w:val="22"/>
        </w:rPr>
        <w:t xml:space="preserve">      患者目前已行盆腔放疗10次，累积剂量18.0Gy/10F，患者目前一般状况尚可,无明显不适,食欲可,睡眠可，受照区轻度色素沉着，表皮完整无破溃。继续放疗,继续对症支持治疗,定期复查血常规。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2018-08-22</w:t>
      </w:r>
    </w:p>
    <w:p>
      <w:pPr>
        <w:jc w:val="left"/>
      </w:pPr>
      <w:r>
        <w:rPr>
          <w:sz w:val="22"/>
        </w:rPr>
        <w:t xml:space="preserve">      患者目前已行盆腔放疗15次，累积剂量27.0Gy/15F，患者目前一般状况尚可,无明显不适,食欲可,睡眠可，受照区轻度色素沉着，表皮完整无破溃。继续放疗,继续对症支持治疗,定期复查血常规。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2018-08-29</w:t>
      </w:r>
    </w:p>
    <w:p>
      <w:pPr>
        <w:jc w:val="left"/>
      </w:pPr>
      <w:r>
        <w:rPr>
          <w:sz w:val="22"/>
        </w:rPr>
        <w:t xml:space="preserve">      患者目前已行盆腔放疗20次，累积剂量36.0Gy/20F，患者目前一般状况尚可,无明显不适,食欲可,睡眠可，受照区轻度色素沉着，轻度发红，表皮完整无破溃。继续放疗,继续对症支持治疗,定期复查血常规。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2018-09-05</w:t>
      </w:r>
    </w:p>
    <w:p>
      <w:pPr>
        <w:jc w:val="left"/>
      </w:pPr>
      <w:r>
        <w:rPr>
          <w:sz w:val="22"/>
        </w:rPr>
        <w:t xml:space="preserve">      患者目前盆腔已放疗25次，局部累积45.0Gy/25F,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