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2018-08-14</w:t>
      </w:r>
    </w:p>
    <w:p>
      <w:pPr>
        <w:jc w:val="left"/>
      </w:pPr>
      <w:r>
        <w:rPr>
          <w:sz w:val="22"/>
        </w:rPr>
        <w:t xml:space="preserve">      患者谭春华，女性，33岁，目前初步诊断：宫颈腺癌 Ib2期术后。患者宫颈癌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宫颈癌区域，经计算优化避开危及器官,以95%等剂量曲线包饶CTV,设5个不规则大面积照射野，计划50.4Gy/28f，在复位条件下，经模拟机透视验证计划后，并于今日开始行宫颈癌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2018-08-18</w:t>
      </w:r>
    </w:p>
    <w:p>
      <w:pPr>
        <w:jc w:val="left"/>
      </w:pPr>
      <w:r>
        <w:rPr>
          <w:sz w:val="22"/>
        </w:rPr>
        <w:t xml:space="preserve">      患者目前已行宫颈癌放疗5次，累积剂量9.0Gy/5F，患者目前一般状况尚可,无明显不适,食欲可,睡眠可，受照区无色素沉着，表皮完整无破溃。继续放疗,继续对症支持治疗,定期复查血常规。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2018-08-25</w:t>
      </w:r>
    </w:p>
    <w:p>
      <w:pPr>
        <w:jc w:val="left"/>
      </w:pPr>
      <w:r>
        <w:rPr>
          <w:sz w:val="22"/>
        </w:rPr>
        <w:t xml:space="preserve">      患者目前已行宫颈癌放疗10次，累积剂量18.0Gy/10F，患者目前一般状况尚可,无明显不适,食欲可,睡眠可，受照区轻度色素沉着，表皮完整无破溃。继续放疗,继续对症支持治疗,定期复查血常规。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2018-09-01</w:t>
      </w:r>
    </w:p>
    <w:p>
      <w:pPr>
        <w:jc w:val="left"/>
      </w:pPr>
      <w:r>
        <w:rPr>
          <w:sz w:val="22"/>
        </w:rPr>
        <w:t xml:space="preserve">      患者目前已行宫颈癌放疗15次，累积剂量27.0Gy/15F，患者目前一般状况尚可,无明显不适,食欲可,睡眠可，受照区轻度色素沉着，表皮完整无破溃。继续放疗,继续对症支持治疗,定期复查血常规。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2018-09-08</w:t>
      </w:r>
    </w:p>
    <w:p>
      <w:pPr>
        <w:jc w:val="left"/>
      </w:pPr>
      <w:r>
        <w:rPr>
          <w:sz w:val="22"/>
        </w:rPr>
        <w:t xml:space="preserve">      患者目前已行宫颈癌放疗20次，累积剂量36.0Gy/20F，患者目前一般状况尚可,无明显不适,食欲可,睡眠可，受照区轻度色素沉着，轻度发红，表皮完整无破溃。继续放疗,继续对症支持治疗,定期复查血常规。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2018-09-15</w:t>
      </w:r>
    </w:p>
    <w:p>
      <w:pPr>
        <w:jc w:val="left"/>
      </w:pPr>
      <w:r>
        <w:rPr>
          <w:sz w:val="22"/>
        </w:rPr>
        <w:t xml:space="preserve">      患者目前宫颈癌已放疗28次，局部累积45.0Gy/28F,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