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2018-08-09</w:t>
      </w:r>
    </w:p>
    <w:p>
      <w:pPr>
        <w:jc w:val="left"/>
      </w:pPr>
      <w:r>
        <w:rPr>
          <w:sz w:val="22"/>
        </w:rPr>
        <w:t xml:space="preserve">      患者郎降，女性，44岁，目前初步诊断：宫颈癌IIB期。患者宫颈癌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宫颈癌区域，经计算优化避开危及器官,以95%等剂量曲线包饶CTV,设6个不规则大面积照射野，计划50.4Gy/28f，在复位条件下，经模拟机透视验证计划后，并于今日开始行宫颈癌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2018-08-15</w:t>
      </w:r>
    </w:p>
    <w:p>
      <w:pPr>
        <w:jc w:val="left"/>
      </w:pPr>
      <w:r>
        <w:rPr>
          <w:sz w:val="22"/>
        </w:rPr>
        <w:t xml:space="preserve">      患者目前已行宫颈癌放疗5次，累积剂量9.0Gy/5F，患者目前一般状况尚可,无明显不适,食欲可,睡眠可，受照区无色素沉着，表皮完整无破溃。继续放疗,继续对症支持治疗,定期复查血常规。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2018-08-22</w:t>
      </w:r>
    </w:p>
    <w:p>
      <w:pPr>
        <w:jc w:val="left"/>
      </w:pPr>
      <w:r>
        <w:rPr>
          <w:sz w:val="22"/>
        </w:rPr>
        <w:t xml:space="preserve">      患者目前已行宫颈癌放疗10次，累积剂量18.0Gy/10F，患者目前一般状况尚可,无明显不适,食欲可,睡眠可，受照区轻度色素沉着，表皮完整无破溃。继续放疗,继续对症支持治疗,定期复查血常规。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2018-08-29</w:t>
      </w:r>
    </w:p>
    <w:p>
      <w:pPr>
        <w:jc w:val="left"/>
      </w:pPr>
      <w:r>
        <w:rPr>
          <w:sz w:val="22"/>
        </w:rPr>
        <w:t xml:space="preserve">      患者目前已行宫颈癌放疗15次，累积剂量27.0Gy/15F，患者目前一般状况尚可,无明显不适,食欲可,睡眠可，受照区轻度色素沉着，表皮完整无破溃。继续放疗,继续对症支持治疗,定期复查血常规。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2018-09-05</w:t>
      </w:r>
    </w:p>
    <w:p>
      <w:pPr>
        <w:jc w:val="left"/>
      </w:pPr>
      <w:r>
        <w:rPr>
          <w:sz w:val="22"/>
        </w:rPr>
        <w:t xml:space="preserve">      患者目前已行宫颈癌放疗20次，累积剂量36.0Gy/20F，患者目前一般状况尚可,无明显不适,食欲可,睡眠可，受照区轻度色素沉着，轻度发红，表皮完整无破溃。继续放疗,继续对症支持治疗,定期复查血常规。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2018-09-12</w:t>
      </w:r>
    </w:p>
    <w:p>
      <w:pPr>
        <w:jc w:val="left"/>
      </w:pPr>
      <w:r>
        <w:rPr>
          <w:sz w:val="22"/>
        </w:rPr>
        <w:t xml:space="preserve">      患者目前宫颈癌已放疗28次，局部累积45.0Gy/28F, 患者目前一般状况尚可，生命体征平稳，精神良好，，受照区中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