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2018-10-22</w:t>
      </w:r>
    </w:p>
    <w:p>
      <w:pPr>
        <w:jc w:val="left"/>
      </w:pPr>
      <w:r>
        <w:rPr>
          <w:sz w:val="22"/>
        </w:rPr>
        <w:t xml:space="preserve">      患者陈再玉，女性，20岁，目前初步诊断：双侧耳廓瘢痕术后。患者双侧耳廓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U型面膜+体架固定体位，经TPS治疗计划系统，针对双侧耳廓区域，经计算优化避开危及器官,以95%等剂量曲线包饶CTV,设2个不规则大面积照射野，计划18Gy/10f，在复位条件下，经模拟机透视验证计划后，并于今日开始行双侧耳廓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2018-10-26</w:t>
      </w:r>
    </w:p>
    <w:p>
      <w:pPr>
        <w:jc w:val="left"/>
      </w:pPr>
      <w:r>
        <w:rPr>
          <w:sz w:val="22"/>
        </w:rPr>
        <w:t xml:space="preserve">      患者目前已行双侧耳廓放疗5次，累积剂量9.0Gy/5F，患者目前一般状况尚可,无明显不适,食欲可,睡眠可，受照区无色素沉着，表皮完整无破溃。继续放疗,继续对症支持治疗,定期复查血常规。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2018-11-02</w:t>
      </w:r>
    </w:p>
    <w:p>
      <w:pPr>
        <w:jc w:val="left"/>
      </w:pPr>
      <w:r>
        <w:rPr>
          <w:sz w:val="22"/>
        </w:rPr>
        <w:t xml:space="preserve">      患者目前双侧耳廓已放疗10次，局部累积18.0Gy/10F, 患者目前一般状况尚可，生命体征平稳，精神良好，，受照区轻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