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Achieving Sales Goals with Customer-Centric Selling Techniques  ·  C1088</w:t>
            </w:r>
          </w:p>
        </w:tc>
      </w:tr>
    </w:tbl>
    <w:p>
      <w:r>
        <w:rPr>
          <w:b/>
          <w:color w:val="1F6FEB"/>
          <w:sz w:val="24"/>
        </w:rPr>
        <w:t>ACTIVITY 2 — CHECKLIST</w:t>
      </w:r>
    </w:p>
    <w:p>
      <w:r>
        <w:rPr>
          <w:b/>
          <w:color w:val="111827"/>
          <w:sz w:val="30"/>
        </w:rPr>
        <w:t>Role Play: Selling Techniques &amp; Problem-Solving</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Role Play</w:t>
            </w:r>
          </w:p>
        </w:tc>
        <w:tc>
          <w:tcPr>
            <w:tcW w:type="dxa" w:w="2419"/>
            <w:shd w:val="clear" w:color="auto" w:fill="F5F8FC"/>
          </w:tcPr>
          <w:p>
            <w:r>
              <w:rPr>
                <w:b/>
                <w:color w:val="1F6FEB"/>
                <w:sz w:val="15"/>
              </w:rPr>
              <w:t>DURATION</w:t>
            </w:r>
          </w:p>
          <w:p>
            <w:r>
              <w:rPr>
                <w:color w:val="111827"/>
                <w:sz w:val="18"/>
              </w:rPr>
              <w:t>1 hour</w:t>
            </w:r>
          </w:p>
        </w:tc>
        <w:tc>
          <w:tcPr>
            <w:tcW w:type="dxa" w:w="2419"/>
            <w:shd w:val="clear" w:color="auto" w:fill="F5F8FC"/>
          </w:tcPr>
          <w:p>
            <w:r>
              <w:rPr>
                <w:b/>
                <w:color w:val="1F6FEB"/>
                <w:sz w:val="15"/>
              </w:rPr>
              <w:t>MAPS TO</w:t>
            </w:r>
          </w:p>
          <w:p>
            <w:r>
              <w:rPr>
                <w:color w:val="111827"/>
                <w:sz w:val="18"/>
              </w:rPr>
              <w:t>LU2</w:t>
            </w:r>
          </w:p>
        </w:tc>
        <w:tc>
          <w:tcPr>
            <w:tcW w:type="dxa" w:w="2419"/>
            <w:shd w:val="clear" w:color="auto" w:fill="F5F8FC"/>
          </w:tcPr>
          <w:p>
            <w:r>
              <w:rPr>
                <w:b/>
                <w:color w:val="1F6FEB"/>
                <w:sz w:val="15"/>
              </w:rPr>
              <w:t>TOPIC</w:t>
            </w:r>
          </w:p>
          <w:p>
            <w:r>
              <w:rPr>
                <w:color w:val="111827"/>
                <w:sz w:val="18"/>
              </w:rPr>
              <w:t>LU2 — Selling Techniques &amp; Problem-Solving</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Self-check — Role Play: Selling Techniques &amp; Problem-Solving</w:t>
      </w:r>
    </w:p>
    <w:p>
      <w:r>
        <w:t>Tick each item you have completed. Any blank is a gap to close before your group presents at the debrief.</w:t>
      </w:r>
    </w:p>
    <w:tbl>
      <w:tblPr>
        <w:tblStyle w:val="TableGrid"/>
        <w:tblW w:type="auto" w:w="0"/>
        <w:tblLook w:firstColumn="1" w:firstRow="1" w:lastColumn="0" w:lastRow="0" w:noHBand="0" w:noVBand="1" w:val="04A0"/>
      </w:tblPr>
      <w:tblGrid>
        <w:gridCol w:w="2419"/>
        <w:gridCol w:w="2419"/>
        <w:gridCol w:w="2419"/>
        <w:gridCol w:w="2419"/>
      </w:tblGrid>
      <w:tr>
        <w:tc>
          <w:tcPr>
            <w:tcW w:type="dxa" w:w="2419"/>
            <w:shd w:val="clear" w:color="auto" w:fill="1F6FEB"/>
          </w:tcPr>
          <w:p>
            <w:r/>
            <w:r>
              <w:rPr>
                <w:b/>
                <w:color w:val="FFFFFF"/>
                <w:sz w:val="19"/>
              </w:rPr>
              <w:t>#</w:t>
            </w:r>
          </w:p>
        </w:tc>
        <w:tc>
          <w:tcPr>
            <w:tcW w:type="dxa" w:w="2419"/>
            <w:shd w:val="clear" w:color="auto" w:fill="1F6FEB"/>
          </w:tcPr>
          <w:p>
            <w:r/>
            <w:r>
              <w:rPr>
                <w:b/>
                <w:color w:val="FFFFFF"/>
                <w:sz w:val="19"/>
              </w:rPr>
              <w:t>Criterion</w:t>
            </w:r>
          </w:p>
        </w:tc>
        <w:tc>
          <w:tcPr>
            <w:tcW w:type="dxa" w:w="2419"/>
            <w:shd w:val="clear" w:color="auto" w:fill="1F6FEB"/>
          </w:tcPr>
          <w:p>
            <w:r/>
            <w:r>
              <w:rPr>
                <w:b/>
                <w:color w:val="FFFFFF"/>
                <w:sz w:val="19"/>
              </w:rPr>
              <w:t>Evidences</w:t>
            </w:r>
          </w:p>
        </w:tc>
        <w:tc>
          <w:tcPr>
            <w:tcW w:type="dxa" w:w="2419"/>
            <w:shd w:val="clear" w:color="auto" w:fill="1F6FEB"/>
          </w:tcPr>
          <w:p>
            <w:r/>
            <w:r>
              <w:rPr>
                <w:b/>
                <w:color w:val="FFFFFF"/>
                <w:sz w:val="19"/>
              </w:rPr>
              <w:t>✓</w:t>
            </w:r>
          </w:p>
        </w:tc>
      </w:tr>
      <w:tr>
        <w:tc>
          <w:tcPr>
            <w:tcW w:type="dxa" w:w="2419"/>
          </w:tcPr>
          <w:p>
            <w:r/>
            <w:r>
              <w:rPr>
                <w:sz w:val="19"/>
              </w:rPr>
              <w:t>1</w:t>
            </w:r>
          </w:p>
        </w:tc>
        <w:tc>
          <w:tcPr>
            <w:tcW w:type="dxa" w:w="2419"/>
          </w:tcPr>
          <w:p>
            <w:r/>
            <w:r>
              <w:rPr>
                <w:sz w:val="19"/>
              </w:rPr>
              <w:t>Alex's opening question was genuinely problem-based, not a disguised pitch.</w:t>
            </w:r>
          </w:p>
        </w:tc>
        <w:tc>
          <w:tcPr>
            <w:tcW w:type="dxa" w:w="2419"/>
          </w:tcPr>
          <w:p>
            <w:r/>
            <w:r>
              <w:rPr>
                <w:sz w:val="19"/>
              </w:rPr>
              <w:t>LU2</w:t>
            </w:r>
          </w:p>
        </w:tc>
        <w:tc>
          <w:tcPr>
            <w:tcW w:type="dxa" w:w="2419"/>
          </w:tcPr>
          <w:p>
            <w:r/>
          </w:p>
        </w:tc>
      </w:tr>
      <w:tr>
        <w:tc>
          <w:tcPr>
            <w:tcW w:type="dxa" w:w="2419"/>
            <w:shd w:val="clear" w:color="auto" w:fill="F5F8FC"/>
          </w:tcPr>
          <w:p>
            <w:r/>
            <w:r>
              <w:rPr>
                <w:sz w:val="19"/>
              </w:rPr>
              <w:t>2</w:t>
            </w:r>
          </w:p>
        </w:tc>
        <w:tc>
          <w:tcPr>
            <w:tcW w:type="dxa" w:w="2419"/>
            <w:shd w:val="clear" w:color="auto" w:fill="F5F8FC"/>
          </w:tcPr>
          <w:p>
            <w:r/>
            <w:r>
              <w:rPr>
                <w:sz w:val="19"/>
              </w:rPr>
              <w:t>The demo referenced at least one specific detail Emma gave in Round 1.</w:t>
            </w:r>
          </w:p>
        </w:tc>
        <w:tc>
          <w:tcPr>
            <w:tcW w:type="dxa" w:w="2419"/>
            <w:shd w:val="clear" w:color="auto" w:fill="F5F8FC"/>
          </w:tcPr>
          <w:p>
            <w:r/>
            <w:r>
              <w:rPr>
                <w:sz w:val="19"/>
              </w:rPr>
              <w:t>LU2</w:t>
            </w:r>
          </w:p>
        </w:tc>
        <w:tc>
          <w:tcPr>
            <w:tcW w:type="dxa" w:w="2419"/>
            <w:shd w:val="clear" w:color="auto" w:fill="F5F8FC"/>
          </w:tcPr>
          <w:p>
            <w:r/>
          </w:p>
        </w:tc>
      </w:tr>
      <w:tr>
        <w:tc>
          <w:tcPr>
            <w:tcW w:type="dxa" w:w="2419"/>
          </w:tcPr>
          <w:p>
            <w:r/>
            <w:r>
              <w:rPr>
                <w:sz w:val="19"/>
              </w:rPr>
              <w:t>3</w:t>
            </w:r>
          </w:p>
        </w:tc>
        <w:tc>
          <w:tcPr>
            <w:tcW w:type="dxa" w:w="2419"/>
          </w:tcPr>
          <w:p>
            <w:r/>
            <w:r>
              <w:rPr>
                <w:sz w:val="19"/>
              </w:rPr>
              <w:t>The tech-comfort objection was validated before it was answered.</w:t>
            </w:r>
          </w:p>
        </w:tc>
        <w:tc>
          <w:tcPr>
            <w:tcW w:type="dxa" w:w="2419"/>
          </w:tcPr>
          <w:p>
            <w:r/>
            <w:r>
              <w:rPr>
                <w:sz w:val="19"/>
              </w:rPr>
              <w:t>LU2</w:t>
            </w:r>
          </w:p>
        </w:tc>
        <w:tc>
          <w:tcPr>
            <w:tcW w:type="dxa" w:w="2419"/>
          </w:tcPr>
          <w:p>
            <w:r/>
          </w:p>
        </w:tc>
      </w:tr>
      <w:tr>
        <w:tc>
          <w:tcPr>
            <w:tcW w:type="dxa" w:w="2419"/>
            <w:shd w:val="clear" w:color="auto" w:fill="F5F8FC"/>
          </w:tcPr>
          <w:p>
            <w:r/>
            <w:r>
              <w:rPr>
                <w:sz w:val="19"/>
              </w:rPr>
              <w:t>4</w:t>
            </w:r>
          </w:p>
        </w:tc>
        <w:tc>
          <w:tcPr>
            <w:tcW w:type="dxa" w:w="2419"/>
            <w:shd w:val="clear" w:color="auto" w:fill="F5F8FC"/>
          </w:tcPr>
          <w:p>
            <w:r/>
            <w:r>
              <w:rPr>
                <w:sz w:val="19"/>
              </w:rPr>
              <w:t>The upsell was raised only after Emma signalled she was ready to move forward, and was framed as relevant to her stated need.</w:t>
            </w:r>
          </w:p>
        </w:tc>
        <w:tc>
          <w:tcPr>
            <w:tcW w:type="dxa" w:w="2419"/>
            <w:shd w:val="clear" w:color="auto" w:fill="F5F8FC"/>
          </w:tcPr>
          <w:p>
            <w:r/>
            <w:r>
              <w:rPr>
                <w:sz w:val="19"/>
              </w:rPr>
              <w:t>LU2</w:t>
            </w:r>
          </w:p>
        </w:tc>
        <w:tc>
          <w:tcPr>
            <w:tcW w:type="dxa" w:w="2419"/>
            <w:shd w:val="clear" w:color="auto" w:fill="F5F8FC"/>
          </w:tcPr>
          <w:p>
            <w:r/>
          </w:p>
        </w:tc>
      </w:tr>
      <w:tr>
        <w:tc>
          <w:tcPr>
            <w:tcW w:type="dxa" w:w="2419"/>
          </w:tcPr>
          <w:p>
            <w:r/>
            <w:r>
              <w:rPr>
                <w:sz w:val="19"/>
              </w:rPr>
              <w:t>5</w:t>
            </w:r>
          </w:p>
        </w:tc>
        <w:tc>
          <w:tcPr>
            <w:tcW w:type="dxa" w:w="2419"/>
          </w:tcPr>
          <w:p>
            <w:r/>
            <w:r>
              <w:rPr>
                <w:sz w:val="19"/>
              </w:rPr>
              <w:t>The close used a Champion Selling frame and ended with a concrete next step.</w:t>
            </w:r>
          </w:p>
        </w:tc>
        <w:tc>
          <w:tcPr>
            <w:tcW w:type="dxa" w:w="2419"/>
          </w:tcPr>
          <w:p>
            <w:r/>
            <w:r>
              <w:rPr>
                <w:sz w:val="19"/>
              </w:rPr>
              <w:t>LU2</w:t>
            </w:r>
          </w:p>
        </w:tc>
        <w:tc>
          <w:tcPr>
            <w:tcW w:type="dxa" w:w="2419"/>
          </w:tcPr>
          <w:p>
            <w:r/>
          </w:p>
        </w:tc>
      </w:tr>
    </w:tbl>
    <w:p/>
    <w:p>
      <w:pPr>
        <w:pStyle w:val="Heading2"/>
      </w:pPr>
      <w:r>
        <w:t>Debrief check</w:t>
      </w:r>
    </w:p>
    <w:p>
      <w:r>
        <w:rPr>
          <w:sz w:val="21"/>
        </w:rPr>
        <w:t>The observer can name the three features shown and tie each to something Emma said, quote at least two genuine mini closes, identify the real question behind 'how easy is it?', and state whether the upsell was correctly timed — with the signal that justified the call.</w:t>
      </w:r>
    </w:p>
    <w:p>
      <w:pPr>
        <w:pStyle w:val="Heading2"/>
      </w:pPr>
      <w:r>
        <w:t>Feedback</w:t>
      </w:r>
    </w:p>
    <w:p>
      <w:r>
        <w:rPr>
          <w:b/>
          <w:sz w:val="20"/>
        </w:rPr>
        <w:t>What did you find hardest in this activity?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What is the ONE thing you will do differently at work?</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i/>
          <w:color w:val="555B66"/>
          <w:sz w:val="16"/>
        </w:rPr>
        <w:t>Achieving Sales Goals with Customer-Centric Selling Techniques · C1088 · Version v1 · © 2026 Tertiary Infotech Academy Pte Ltd</w:t>
      </w:r>
    </w:p>
    <w:sectPr w:rsidR="00FC693F" w:rsidRPr="0006063C" w:rsidSect="00034616">
      <w:headerReference w:type="default" r:id="rId9"/>
      <w:footerReference w:type="default" r:id="rId10"/>
      <w:headerReference w:type="first" r:id="rId11"/>
      <w:footerReference w:type="first" r:id="rId12"/>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