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3 — CHECKLIST</w:t>
      </w:r>
    </w:p>
    <w:p>
      <w:r>
        <w:rPr>
          <w:b/>
          <w:color w:val="111827"/>
          <w:sz w:val="30"/>
        </w:rPr>
        <w:t>Role Play: Closing the Sale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LU3</w:t>
            </w:r>
          </w:p>
        </w:tc>
        <w:tc>
          <w:tcPr>
            <w:tcW w:type="dxa" w:w="2419"/>
            <w:shd w:val="clear" w:color="auto" w:fill="F5F8FC"/>
          </w:tcPr>
          <w:p>
            <w:r>
              <w:rPr>
                <w:b/>
                <w:color w:val="1F6FEB"/>
                <w:sz w:val="15"/>
              </w:rPr>
              <w:t>TOPIC</w:t>
            </w:r>
          </w:p>
          <w:p>
            <w:r>
              <w:rPr>
                <w:color w:val="111827"/>
                <w:sz w:val="18"/>
              </w:rPr>
              <w:t>LU3 — Closing the Sale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Self-check — Role Play: Closing the Sale</w:t>
      </w:r>
    </w:p>
    <w:p>
      <w:r>
        <w:t>Tick each item you have completed. Any blank is a gap to close before your group presents at the debrief.</w:t>
      </w:r>
    </w:p>
    <w:tbl>
      <w:tblPr>
        <w:tblStyle w:val="TableGrid"/>
        <w:tblW w:type="auto" w:w="0"/>
        <w:tblLook w:firstColumn="1" w:firstRow="1" w:lastColumn="0" w:lastRow="0" w:noHBand="0" w:noVBand="1" w:val="04A0"/>
      </w:tblPr>
      <w:tblGrid>
        <w:gridCol w:w="2419"/>
        <w:gridCol w:w="2419"/>
        <w:gridCol w:w="2419"/>
        <w:gridCol w:w="2419"/>
      </w:tblGrid>
      <w:tr>
        <w:tc>
          <w:tcPr>
            <w:tcW w:type="dxa" w:w="2419"/>
            <w:shd w:val="clear" w:color="auto" w:fill="1F6FEB"/>
          </w:tcPr>
          <w:p>
            <w:r/>
            <w:r>
              <w:rPr>
                <w:b/>
                <w:color w:val="FFFFFF"/>
                <w:sz w:val="19"/>
              </w:rPr>
              <w:t>#</w:t>
            </w:r>
          </w:p>
        </w:tc>
        <w:tc>
          <w:tcPr>
            <w:tcW w:type="dxa" w:w="2419"/>
            <w:shd w:val="clear" w:color="auto" w:fill="1F6FEB"/>
          </w:tcPr>
          <w:p>
            <w:r/>
            <w:r>
              <w:rPr>
                <w:b/>
                <w:color w:val="FFFFFF"/>
                <w:sz w:val="19"/>
              </w:rPr>
              <w:t>Criterion</w:t>
            </w:r>
          </w:p>
        </w:tc>
        <w:tc>
          <w:tcPr>
            <w:tcW w:type="dxa" w:w="2419"/>
            <w:shd w:val="clear" w:color="auto" w:fill="1F6FEB"/>
          </w:tcPr>
          <w:p>
            <w:r/>
            <w:r>
              <w:rPr>
                <w:b/>
                <w:color w:val="FFFFFF"/>
                <w:sz w:val="19"/>
              </w:rPr>
              <w:t>Evidences</w:t>
            </w:r>
          </w:p>
        </w:tc>
        <w:tc>
          <w:tcPr>
            <w:tcW w:type="dxa" w:w="2419"/>
            <w:shd w:val="clear" w:color="auto" w:fill="1F6FEB"/>
          </w:tcPr>
          <w:p>
            <w:r/>
            <w:r>
              <w:rPr>
                <w:b/>
                <w:color w:val="FFFFFF"/>
                <w:sz w:val="19"/>
              </w:rPr>
              <w:t>✓</w:t>
            </w:r>
          </w:p>
        </w:tc>
      </w:tr>
      <w:tr>
        <w:tc>
          <w:tcPr>
            <w:tcW w:type="dxa" w:w="2419"/>
          </w:tcPr>
          <w:p>
            <w:r/>
            <w:r>
              <w:rPr>
                <w:sz w:val="19"/>
              </w:rPr>
              <w:t>1</w:t>
            </w:r>
          </w:p>
        </w:tc>
        <w:tc>
          <w:tcPr>
            <w:tcW w:type="dxa" w:w="2419"/>
          </w:tcPr>
          <w:p>
            <w:r/>
            <w:r>
              <w:rPr>
                <w:sz w:val="19"/>
              </w:rPr>
              <w:t>Mark checked readiness explicitly before attempting the close.</w:t>
            </w:r>
          </w:p>
        </w:tc>
        <w:tc>
          <w:tcPr>
            <w:tcW w:type="dxa" w:w="2419"/>
          </w:tcPr>
          <w:p>
            <w:r/>
            <w:r>
              <w:rPr>
                <w:sz w:val="19"/>
              </w:rPr>
              <w:t>LU3</w:t>
            </w:r>
          </w:p>
        </w:tc>
        <w:tc>
          <w:tcPr>
            <w:tcW w:type="dxa" w:w="2419"/>
          </w:tcPr>
          <w:p>
            <w:r/>
          </w:p>
        </w:tc>
      </w:tr>
      <w:tr>
        <w:tc>
          <w:tcPr>
            <w:tcW w:type="dxa" w:w="2419"/>
            <w:shd w:val="clear" w:color="auto" w:fill="F5F8FC"/>
          </w:tcPr>
          <w:p>
            <w:r/>
            <w:r>
              <w:rPr>
                <w:sz w:val="19"/>
              </w:rPr>
              <w:t>2</w:t>
            </w:r>
          </w:p>
        </w:tc>
        <w:tc>
          <w:tcPr>
            <w:tcW w:type="dxa" w:w="2419"/>
            <w:shd w:val="clear" w:color="auto" w:fill="F5F8FC"/>
          </w:tcPr>
          <w:p>
            <w:r/>
            <w:r>
              <w:rPr>
                <w:sz w:val="19"/>
              </w:rPr>
              <w:t>Price was justified with evidence (ROI, time savings) before any discount was discussed.</w:t>
            </w:r>
          </w:p>
        </w:tc>
        <w:tc>
          <w:tcPr>
            <w:tcW w:type="dxa" w:w="2419"/>
            <w:shd w:val="clear" w:color="auto" w:fill="F5F8FC"/>
          </w:tcPr>
          <w:p>
            <w:r/>
            <w:r>
              <w:rPr>
                <w:sz w:val="19"/>
              </w:rPr>
              <w:t>LU3</w:t>
            </w:r>
          </w:p>
        </w:tc>
        <w:tc>
          <w:tcPr>
            <w:tcW w:type="dxa" w:w="2419"/>
            <w:shd w:val="clear" w:color="auto" w:fill="F5F8FC"/>
          </w:tcPr>
          <w:p>
            <w:r/>
          </w:p>
        </w:tc>
      </w:tr>
      <w:tr>
        <w:tc>
          <w:tcPr>
            <w:tcW w:type="dxa" w:w="2419"/>
          </w:tcPr>
          <w:p>
            <w:r/>
            <w:r>
              <w:rPr>
                <w:sz w:val="19"/>
              </w:rPr>
              <w:t>3</w:t>
            </w:r>
          </w:p>
        </w:tc>
        <w:tc>
          <w:tcPr>
            <w:tcW w:type="dxa" w:w="2419"/>
          </w:tcPr>
          <w:p>
            <w:r/>
            <w:r>
              <w:rPr>
                <w:sz w:val="19"/>
              </w:rPr>
              <w:t>The longer-term-contract offer was framed as added value, not a disguised discount.</w:t>
            </w:r>
          </w:p>
        </w:tc>
        <w:tc>
          <w:tcPr>
            <w:tcW w:type="dxa" w:w="2419"/>
          </w:tcPr>
          <w:p>
            <w:r/>
            <w:r>
              <w:rPr>
                <w:sz w:val="19"/>
              </w:rPr>
              <w:t>LU3</w:t>
            </w:r>
          </w:p>
        </w:tc>
        <w:tc>
          <w:tcPr>
            <w:tcW w:type="dxa" w:w="2419"/>
          </w:tcPr>
          <w:p>
            <w:r/>
          </w:p>
        </w:tc>
      </w:tr>
      <w:tr>
        <w:tc>
          <w:tcPr>
            <w:tcW w:type="dxa" w:w="2419"/>
            <w:shd w:val="clear" w:color="auto" w:fill="F5F8FC"/>
          </w:tcPr>
          <w:p>
            <w:r/>
            <w:r>
              <w:rPr>
                <w:sz w:val="19"/>
              </w:rPr>
              <w:t>4</w:t>
            </w:r>
          </w:p>
        </w:tc>
        <w:tc>
          <w:tcPr>
            <w:tcW w:type="dxa" w:w="2419"/>
            <w:shd w:val="clear" w:color="auto" w:fill="F5F8FC"/>
          </w:tcPr>
          <w:p>
            <w:r/>
            <w:r>
              <w:rPr>
                <w:sz w:val="19"/>
              </w:rPr>
              <w:t>A genuine mini close confirmed a smaller decision before the full close was attempted.</w:t>
            </w:r>
          </w:p>
        </w:tc>
        <w:tc>
          <w:tcPr>
            <w:tcW w:type="dxa" w:w="2419"/>
            <w:shd w:val="clear" w:color="auto" w:fill="F5F8FC"/>
          </w:tcPr>
          <w:p>
            <w:r/>
            <w:r>
              <w:rPr>
                <w:sz w:val="19"/>
              </w:rPr>
              <w:t>LU3</w:t>
            </w:r>
          </w:p>
        </w:tc>
        <w:tc>
          <w:tcPr>
            <w:tcW w:type="dxa" w:w="2419"/>
            <w:shd w:val="clear" w:color="auto" w:fill="F5F8FC"/>
          </w:tcPr>
          <w:p>
            <w:r/>
          </w:p>
        </w:tc>
      </w:tr>
      <w:tr>
        <w:tc>
          <w:tcPr>
            <w:tcW w:type="dxa" w:w="2419"/>
          </w:tcPr>
          <w:p>
            <w:r/>
            <w:r>
              <w:rPr>
                <w:sz w:val="19"/>
              </w:rPr>
              <w:t>5</w:t>
            </w:r>
          </w:p>
        </w:tc>
        <w:tc>
          <w:tcPr>
            <w:tcW w:type="dxa" w:w="2419"/>
          </w:tcPr>
          <w:p>
            <w:r/>
            <w:r>
              <w:rPr>
                <w:sz w:val="19"/>
              </w:rPr>
              <w:t>The round ended with a concrete, dated follow-up commitment, not a vague promise.</w:t>
            </w:r>
          </w:p>
        </w:tc>
        <w:tc>
          <w:tcPr>
            <w:tcW w:type="dxa" w:w="2419"/>
          </w:tcPr>
          <w:p>
            <w:r/>
            <w:r>
              <w:rPr>
                <w:sz w:val="19"/>
              </w:rPr>
              <w:t>LU3</w:t>
            </w:r>
          </w:p>
        </w:tc>
        <w:tc>
          <w:tcPr>
            <w:tcW w:type="dxa" w:w="2419"/>
          </w:tcPr>
          <w:p>
            <w:r/>
          </w:p>
        </w:tc>
      </w:tr>
    </w:tbl>
    <w:p/>
    <w:p>
      <w:pPr>
        <w:pStyle w:val="Heading2"/>
      </w:pPr>
      <w:r>
        <w:t>Debrief check</w:t>
      </w:r>
    </w:p>
    <w:p>
      <w:r>
        <w:rPr>
          <w:sz w:val="21"/>
        </w:rPr>
        <w:t>The observer can quote at least two buying signals Rachel gave, state the real constraint behind the discount request and the question that surfaced it, name the closing technique used, and confirm whether the call closed on a dated mutual action plan with named owners.</w:t>
      </w:r>
    </w:p>
    <w:p>
      <w:pPr>
        <w:pStyle w:val="Heading2"/>
      </w:pPr>
      <w:r>
        <w:t>Feedback</w:t>
      </w:r>
    </w:p>
    <w:p>
      <w:r>
        <w:rPr>
          <w:b/>
          <w:sz w:val="20"/>
        </w:rPr>
        <w:t>What did you find hardest in this activity?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is the ONE thing you will do differently at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