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Achieving Sales Goals with Customer-Centric Selling Techniques  ·  C1088</w:t>
            </w:r>
          </w:p>
        </w:tc>
      </w:tr>
    </w:tbl>
    <w:p>
      <w:r>
        <w:rPr>
          <w:b/>
          <w:color w:val="1F6FEB"/>
          <w:sz w:val="24"/>
        </w:rPr>
        <w:t>ACTIVITY 4 — CHECKLIST</w:t>
      </w:r>
    </w:p>
    <w:p>
      <w:r>
        <w:rPr>
          <w:b/>
          <w:color w:val="111827"/>
          <w:sz w:val="30"/>
        </w:rPr>
        <w:t>Role Play: Handling Objections &amp; Rejections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Role Play</w:t>
            </w:r>
          </w:p>
        </w:tc>
        <w:tc>
          <w:tcPr>
            <w:tcW w:type="dxa" w:w="2419"/>
            <w:shd w:val="clear" w:color="auto" w:fill="F5F8FC"/>
          </w:tcPr>
          <w:p>
            <w:r>
              <w:rPr>
                <w:b/>
                <w:color w:val="1F6FEB"/>
                <w:sz w:val="15"/>
              </w:rPr>
              <w:t>DURATION</w:t>
            </w:r>
          </w:p>
          <w:p>
            <w:r>
              <w:rPr>
                <w:color w:val="111827"/>
                <w:sz w:val="18"/>
              </w:rPr>
              <w:t>1 hour</w:t>
            </w:r>
          </w:p>
        </w:tc>
        <w:tc>
          <w:tcPr>
            <w:tcW w:type="dxa" w:w="2419"/>
            <w:shd w:val="clear" w:color="auto" w:fill="F5F8FC"/>
          </w:tcPr>
          <w:p>
            <w:r>
              <w:rPr>
                <w:b/>
                <w:color w:val="1F6FEB"/>
                <w:sz w:val="15"/>
              </w:rPr>
              <w:t>MAPS TO</w:t>
            </w:r>
          </w:p>
          <w:p>
            <w:r>
              <w:rPr>
                <w:color w:val="111827"/>
                <w:sz w:val="18"/>
              </w:rPr>
              <w:t>LU4</w:t>
            </w:r>
          </w:p>
        </w:tc>
        <w:tc>
          <w:tcPr>
            <w:tcW w:type="dxa" w:w="2419"/>
            <w:shd w:val="clear" w:color="auto" w:fill="F5F8FC"/>
          </w:tcPr>
          <w:p>
            <w:r>
              <w:rPr>
                <w:b/>
                <w:color w:val="1F6FEB"/>
                <w:sz w:val="15"/>
              </w:rPr>
              <w:t>TOPIC</w:t>
            </w:r>
          </w:p>
          <w:p>
            <w:r>
              <w:rPr>
                <w:color w:val="111827"/>
                <w:sz w:val="18"/>
              </w:rPr>
              <w:t>LU4 — Handling Objections &amp; Rejections</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Self-check — Role Play: Handling Objections &amp; Rejections</w:t>
      </w:r>
    </w:p>
    <w:p>
      <w:r>
        <w:t>Tick each item you have completed. Any blank is a gap to close before your group presents at the debrief.</w:t>
      </w:r>
    </w:p>
    <w:tbl>
      <w:tblPr>
        <w:tblStyle w:val="TableGrid"/>
        <w:tblW w:type="auto" w:w="0"/>
        <w:tblLook w:firstColumn="1" w:firstRow="1" w:lastColumn="0" w:lastRow="0" w:noHBand="0" w:noVBand="1" w:val="04A0"/>
      </w:tblPr>
      <w:tblGrid>
        <w:gridCol w:w="2419"/>
        <w:gridCol w:w="2419"/>
        <w:gridCol w:w="2419"/>
        <w:gridCol w:w="2419"/>
      </w:tblGrid>
      <w:tr>
        <w:tc>
          <w:tcPr>
            <w:tcW w:type="dxa" w:w="2419"/>
            <w:shd w:val="clear" w:color="auto" w:fill="1F6FEB"/>
          </w:tcPr>
          <w:p>
            <w:r/>
            <w:r>
              <w:rPr>
                <w:b/>
                <w:color w:val="FFFFFF"/>
                <w:sz w:val="19"/>
              </w:rPr>
              <w:t>#</w:t>
            </w:r>
          </w:p>
        </w:tc>
        <w:tc>
          <w:tcPr>
            <w:tcW w:type="dxa" w:w="2419"/>
            <w:shd w:val="clear" w:color="auto" w:fill="1F6FEB"/>
          </w:tcPr>
          <w:p>
            <w:r/>
            <w:r>
              <w:rPr>
                <w:b/>
                <w:color w:val="FFFFFF"/>
                <w:sz w:val="19"/>
              </w:rPr>
              <w:t>Criterion</w:t>
            </w:r>
          </w:p>
        </w:tc>
        <w:tc>
          <w:tcPr>
            <w:tcW w:type="dxa" w:w="2419"/>
            <w:shd w:val="clear" w:color="auto" w:fill="1F6FEB"/>
          </w:tcPr>
          <w:p>
            <w:r/>
            <w:r>
              <w:rPr>
                <w:b/>
                <w:color w:val="FFFFFF"/>
                <w:sz w:val="19"/>
              </w:rPr>
              <w:t>Evidences</w:t>
            </w:r>
          </w:p>
        </w:tc>
        <w:tc>
          <w:tcPr>
            <w:tcW w:type="dxa" w:w="2419"/>
            <w:shd w:val="clear" w:color="auto" w:fill="1F6FEB"/>
          </w:tcPr>
          <w:p>
            <w:r/>
            <w:r>
              <w:rPr>
                <w:b/>
                <w:color w:val="FFFFFF"/>
                <w:sz w:val="19"/>
              </w:rPr>
              <w:t>✓</w:t>
            </w:r>
          </w:p>
        </w:tc>
      </w:tr>
      <w:tr>
        <w:tc>
          <w:tcPr>
            <w:tcW w:type="dxa" w:w="2419"/>
          </w:tcPr>
          <w:p>
            <w:r/>
            <w:r>
              <w:rPr>
                <w:sz w:val="19"/>
              </w:rPr>
              <w:t>1</w:t>
            </w:r>
          </w:p>
        </w:tc>
        <w:tc>
          <w:tcPr>
            <w:tcW w:type="dxa" w:w="2419"/>
          </w:tcPr>
          <w:p>
            <w:r/>
            <w:r>
              <w:rPr>
                <w:sz w:val="19"/>
              </w:rPr>
              <w:t>Tom's opening cost concern was correctly classified as an objection, not a rejection.</w:t>
            </w:r>
          </w:p>
        </w:tc>
        <w:tc>
          <w:tcPr>
            <w:tcW w:type="dxa" w:w="2419"/>
          </w:tcPr>
          <w:p>
            <w:r/>
            <w:r>
              <w:rPr>
                <w:sz w:val="19"/>
              </w:rPr>
              <w:t>LU4</w:t>
            </w:r>
          </w:p>
        </w:tc>
        <w:tc>
          <w:tcPr>
            <w:tcW w:type="dxa" w:w="2419"/>
          </w:tcPr>
          <w:p>
            <w:r/>
          </w:p>
        </w:tc>
      </w:tr>
      <w:tr>
        <w:tc>
          <w:tcPr>
            <w:tcW w:type="dxa" w:w="2419"/>
            <w:shd w:val="clear" w:color="auto" w:fill="F5F8FC"/>
          </w:tcPr>
          <w:p>
            <w:r/>
            <w:r>
              <w:rPr>
                <w:sz w:val="19"/>
              </w:rPr>
              <w:t>2</w:t>
            </w:r>
          </w:p>
        </w:tc>
        <w:tc>
          <w:tcPr>
            <w:tcW w:type="dxa" w:w="2419"/>
            <w:shd w:val="clear" w:color="auto" w:fill="F5F8FC"/>
          </w:tcPr>
          <w:p>
            <w:r/>
            <w:r>
              <w:rPr>
                <w:sz w:val="19"/>
              </w:rPr>
              <w:t>Sophie used Answer &amp; Ask — a direct answer followed by a genuine re-engaging question.</w:t>
            </w:r>
          </w:p>
        </w:tc>
        <w:tc>
          <w:tcPr>
            <w:tcW w:type="dxa" w:w="2419"/>
            <w:shd w:val="clear" w:color="auto" w:fill="F5F8FC"/>
          </w:tcPr>
          <w:p>
            <w:r/>
            <w:r>
              <w:rPr>
                <w:sz w:val="19"/>
              </w:rPr>
              <w:t>LU4</w:t>
            </w:r>
          </w:p>
        </w:tc>
        <w:tc>
          <w:tcPr>
            <w:tcW w:type="dxa" w:w="2419"/>
            <w:shd w:val="clear" w:color="auto" w:fill="F5F8FC"/>
          </w:tcPr>
          <w:p>
            <w:r/>
          </w:p>
        </w:tc>
      </w:tr>
      <w:tr>
        <w:tc>
          <w:tcPr>
            <w:tcW w:type="dxa" w:w="2419"/>
          </w:tcPr>
          <w:p>
            <w:r/>
            <w:r>
              <w:rPr>
                <w:sz w:val="19"/>
              </w:rPr>
              <w:t>3</w:t>
            </w:r>
          </w:p>
        </w:tc>
        <w:tc>
          <w:tcPr>
            <w:tcW w:type="dxa" w:w="2419"/>
          </w:tcPr>
          <w:p>
            <w:r/>
            <w:r>
              <w:rPr>
                <w:sz w:val="19"/>
              </w:rPr>
              <w:t>The offer was scaled to Tom's actual stated priority, not defended at the original price.</w:t>
            </w:r>
          </w:p>
        </w:tc>
        <w:tc>
          <w:tcPr>
            <w:tcW w:type="dxa" w:w="2419"/>
          </w:tcPr>
          <w:p>
            <w:r/>
            <w:r>
              <w:rPr>
                <w:sz w:val="19"/>
              </w:rPr>
              <w:t>LU4</w:t>
            </w:r>
          </w:p>
        </w:tc>
        <w:tc>
          <w:tcPr>
            <w:tcW w:type="dxa" w:w="2419"/>
          </w:tcPr>
          <w:p>
            <w:r/>
          </w:p>
        </w:tc>
      </w:tr>
      <w:tr>
        <w:tc>
          <w:tcPr>
            <w:tcW w:type="dxa" w:w="2419"/>
            <w:shd w:val="clear" w:color="auto" w:fill="F5F8FC"/>
          </w:tcPr>
          <w:p>
            <w:r/>
            <w:r>
              <w:rPr>
                <w:sz w:val="19"/>
              </w:rPr>
              <w:t>4</w:t>
            </w:r>
          </w:p>
        </w:tc>
        <w:tc>
          <w:tcPr>
            <w:tcW w:type="dxa" w:w="2419"/>
            <w:shd w:val="clear" w:color="auto" w:fill="F5F8FC"/>
          </w:tcPr>
          <w:p>
            <w:r/>
            <w:r>
              <w:rPr>
                <w:sz w:val="19"/>
              </w:rPr>
              <w:t>All three parts of Feel-Felt-Found were present, with a specific (not vague) testimonial.</w:t>
            </w:r>
          </w:p>
        </w:tc>
        <w:tc>
          <w:tcPr>
            <w:tcW w:type="dxa" w:w="2419"/>
            <w:shd w:val="clear" w:color="auto" w:fill="F5F8FC"/>
          </w:tcPr>
          <w:p>
            <w:r/>
            <w:r>
              <w:rPr>
                <w:sz w:val="19"/>
              </w:rPr>
              <w:t>LU4</w:t>
            </w:r>
          </w:p>
        </w:tc>
        <w:tc>
          <w:tcPr>
            <w:tcW w:type="dxa" w:w="2419"/>
            <w:shd w:val="clear" w:color="auto" w:fill="F5F8FC"/>
          </w:tcPr>
          <w:p>
            <w:r/>
          </w:p>
        </w:tc>
      </w:tr>
      <w:tr>
        <w:tc>
          <w:tcPr>
            <w:tcW w:type="dxa" w:w="2419"/>
          </w:tcPr>
          <w:p>
            <w:r/>
            <w:r>
              <w:rPr>
                <w:sz w:val="19"/>
              </w:rPr>
              <w:t>5</w:t>
            </w:r>
          </w:p>
        </w:tc>
        <w:tc>
          <w:tcPr>
            <w:tcW w:type="dxa" w:w="2419"/>
          </w:tcPr>
          <w:p>
            <w:r/>
            <w:r>
              <w:rPr>
                <w:sz w:val="19"/>
              </w:rPr>
              <w:t>The later 'not the right time' line was correctly read as a rejection and handled without pressure, leaving a specific future check-in open.</w:t>
            </w:r>
          </w:p>
        </w:tc>
        <w:tc>
          <w:tcPr>
            <w:tcW w:type="dxa" w:w="2419"/>
          </w:tcPr>
          <w:p>
            <w:r/>
            <w:r>
              <w:rPr>
                <w:sz w:val="19"/>
              </w:rPr>
              <w:t>LU4</w:t>
            </w:r>
          </w:p>
        </w:tc>
        <w:tc>
          <w:tcPr>
            <w:tcW w:type="dxa" w:w="2419"/>
          </w:tcPr>
          <w:p>
            <w:r/>
          </w:p>
        </w:tc>
      </w:tr>
    </w:tbl>
    <w:p/>
    <w:p>
      <w:pPr>
        <w:pStyle w:val="Heading2"/>
      </w:pPr>
      <w:r>
        <w:t>Debrief check</w:t>
      </w:r>
    </w:p>
    <w:p>
      <w:r>
        <w:rPr>
          <w:sz w:val="21"/>
        </w:rPr>
        <w:t>The observer can label all three of Tom's responses correctly, quote the line where Sophie validated before answering, name the question that surfaced the real constraint, and describe how the rejection attempt was handled without either caving or pushing.</w:t>
      </w:r>
    </w:p>
    <w:p>
      <w:pPr>
        <w:pStyle w:val="Heading2"/>
      </w:pPr>
      <w:r>
        <w:t>Feedback</w:t>
      </w:r>
    </w:p>
    <w:p>
      <w:r>
        <w:rPr>
          <w:b/>
          <w:sz w:val="20"/>
        </w:rPr>
        <w:t>What did you find hardest in this activity?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What is the ONE thing you will do differently at work?</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i/>
          <w:color w:val="555B66"/>
          <w:sz w:val="16"/>
        </w:rPr>
        <w:t>Achieving Sales Goals with Customer-Centric Selling Techniques · C1088 · Version v1 · © 2026 Tertiary Infotech Academy Pte Ltd</w:t>
      </w:r>
    </w:p>
    <w:sectPr w:rsidR="00FC693F" w:rsidRPr="0006063C" w:rsidSect="00034616">
      <w:headerReference w:type="default" r:id="rId9"/>
      <w:footerReference w:type="default" r:id="rId10"/>
      <w:headerReference w:type="first" r:id="rId11"/>
      <w:footerReference w:type="first" r:id="rId12"/>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