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Achieving Sales Goals with Customer-Centric Selling Techniques</w:t>
      </w:r>
    </w:p>
    <w:p>
      <w:pPr>
        <w:spacing w:before="80" w:after="280"/>
        <w:jc w:val="center"/>
      </w:pPr>
      <w:r>
        <w:rPr>
          <w:b w:val="0"/>
          <w:color w:val="111827"/>
          <w:sz w:val="24"/>
        </w:rPr>
        <w:t>Course Code: C1088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06 Mar 2025</w:t>
            </w:r>
          </w:p>
        </w:tc>
        <w:tc>
          <w:tcPr>
            <w:tcW w:type="dxa" w:w="2160"/>
          </w:tcPr>
          <w:p>
            <w:r/>
            <w:r>
              <w:rPr>
                <w:sz w:val="19"/>
              </w:rPr>
              <w:t>First version.</w:t>
            </w:r>
          </w:p>
        </w:tc>
        <w:tc>
          <w:tcPr>
            <w:tcW w:type="dxa" w:w="2160"/>
          </w:tcPr>
          <w:p>
            <w:r/>
            <w:r>
              <w:rPr>
                <w:sz w:val="19"/>
              </w:rPr>
              <w:t>Tertiary Infotech Pte Ltd</w:t>
            </w:r>
          </w:p>
        </w:tc>
      </w:tr>
      <w:tr>
        <w:tc>
          <w:tcPr>
            <w:tcW w:type="dxa" w:w="2160"/>
          </w:tcPr>
          <w:p>
            <w:r/>
            <w:r>
              <w:rPr>
                <w:sz w:val="19"/>
              </w:rPr>
              <w:t>2.0</w:t>
            </w:r>
          </w:p>
        </w:tc>
        <w:tc>
          <w:tcPr>
            <w:tcW w:type="dxa" w:w="2160"/>
          </w:tcPr>
          <w:p>
            <w:r/>
            <w:r>
              <w:rPr>
                <w:sz w:val="19"/>
              </w:rPr>
            </w:r>
          </w:p>
        </w:tc>
        <w:tc>
          <w:tcPr>
            <w:tcW w:type="dxa" w:w="2160"/>
          </w:tcPr>
          <w:p>
            <w:r/>
            <w:r>
              <w:rPr>
                <w:sz w:val="19"/>
              </w:rPr>
              <w:t>New Format.</w:t>
            </w:r>
          </w:p>
        </w:tc>
        <w:tc>
          <w:tcPr>
            <w:tcW w:type="dxa" w:w="2160"/>
          </w:tcPr>
          <w:p>
            <w:r/>
            <w:r>
              <w:rPr>
                <w:sz w:val="19"/>
              </w:rPr>
              <w:t>Tertiary Infotech Academy Pte Ltd</w:t>
            </w:r>
          </w:p>
        </w:tc>
      </w:tr>
      <w:tr>
        <w:tc>
          <w:tcPr>
            <w:tcW w:type="dxa" w:w="2160"/>
          </w:tcPr>
          <w:p>
            <w:r/>
            <w:r>
              <w:rPr>
                <w:sz w:val="19"/>
              </w:rPr>
              <w:t>3.0</w:t>
            </w:r>
          </w:p>
        </w:tc>
        <w:tc>
          <w:tcPr>
            <w:tcW w:type="dxa" w:w="2160"/>
          </w:tcPr>
          <w:p>
            <w:r/>
            <w:r>
              <w:rPr>
                <w:sz w:val="19"/>
              </w:rPr>
              <w:t>17 Oct 2025</w:t>
            </w:r>
          </w:p>
        </w:tc>
        <w:tc>
          <w:tcPr>
            <w:tcW w:type="dxa" w:w="2160"/>
          </w:tcPr>
          <w:p>
            <w:r/>
            <w:r>
              <w:rPr>
                <w:sz w:val="19"/>
              </w:rPr>
              <w:t>Update company name.</w:t>
            </w:r>
          </w:p>
        </w:tc>
        <w:tc>
          <w:tcPr>
            <w:tcW w:type="dxa" w:w="2160"/>
          </w:tcPr>
          <w:p>
            <w:r/>
            <w:r>
              <w:rPr>
                <w:sz w:val="19"/>
              </w:rPr>
              <w:t>Tertiary Infotech Academy Pte Ltd</w:t>
            </w:r>
          </w:p>
        </w:tc>
      </w:tr>
      <w:tr>
        <w:tc>
          <w:tcPr>
            <w:tcW w:type="dxa" w:w="2160"/>
          </w:tcPr>
          <w:p>
            <w:r/>
            <w:r>
              <w:rPr>
                <w:sz w:val="19"/>
              </w:rPr>
              <w:t>4.0</w:t>
            </w:r>
          </w:p>
        </w:tc>
        <w:tc>
          <w:tcPr>
            <w:tcW w:type="dxa" w:w="2160"/>
          </w:tcPr>
          <w:p>
            <w:r/>
            <w:r>
              <w:rPr>
                <w:sz w:val="19"/>
              </w:rPr>
              <w:t>17 Aug 2026</w:t>
            </w:r>
          </w:p>
        </w:tc>
        <w:tc>
          <w:tcPr>
            <w:tcW w:type="dxa" w:w="2160"/>
          </w:tcPr>
          <w:p>
            <w:r/>
            <w:r>
              <w:rPr>
                <w:sz w:val="19"/>
              </w:rPr>
              <w:t>Regenerated to match the redesigned v7 slide deck (visual house component system; research-grounded content: SPIN Selling, Cialdini's principles of influence, empathy-driven objection handling / Feel-Felt-Found, upsell/cross-sell timing, follow-up cadence research). The 4 role-play activities are renamed and rebuilt as activities/NN - &lt;Activity&gt;/ (one per Learning Unit). Slide-number citations are read directly from the deck's slide_map.json.</w:t>
            </w:r>
          </w:p>
        </w:tc>
        <w:tc>
          <w:tcPr>
            <w:tcW w:type="dxa" w:w="2160"/>
          </w:tcPr>
          <w:p>
            <w:r/>
            <w:r>
              <w:rPr>
                <w:sz w:val="19"/>
              </w:rPr>
              <w:t>Tertiary Infotech Academy Pte Ltd</w:t>
            </w:r>
          </w:p>
        </w:tc>
      </w:tr>
      <w:tr>
        <w:tc>
          <w:tcPr>
            <w:tcW w:type="dxa" w:w="2160"/>
          </w:tcPr>
          <w:p>
            <w:r>
              <w:t>5.0</w:t>
            </w:r>
            <w:r>
              <w:rPr>
                <w:sz w:val="19"/>
              </w:rPr>
            </w:r>
          </w:p>
        </w:tc>
        <w:tc>
          <w:tcPr>
            <w:tcW w:type="dxa" w:w="2160"/>
          </w:tcPr>
          <w:p>
            <w:r>
              <w:t>02 Oct 2026</w:t>
            </w:r>
            <w:r>
              <w:rPr>
                <w:sz w:val="19"/>
              </w:rPr>
            </w:r>
          </w:p>
        </w:tc>
        <w:tc>
          <w:tcPr>
            <w:tcW w:type="dxa" w:w="2160"/>
          </w:tcPr>
          <w:p>
            <w:r>
              <w:t>Non-WSQ edition for C1088 Achieving Sales Goals with Customer-Centric Selling Techniques, replicated from the v8 courseware: same four Learning Units, topics and role-play activities; assessment and programme-specific administration removed; each day retimed to 9:30am–5:30pm (7.5 instructional hours).</w:t>
            </w:r>
            <w:r>
              <w:rPr>
                <w:sz w:val="19"/>
              </w:rPr>
            </w:r>
          </w:p>
        </w:tc>
        <w:tc>
          <w:tcPr>
            <w:tcW w:type="dxa" w:w="2160"/>
          </w:tcPr>
          <w:p>
            <w:r>
              <w:t>Tertiary Infotech Academy Pte Ltd</w:t>
            </w:r>
            <w:r>
              <w:rPr>
                <w:sz w:val="19"/>
              </w:rPr>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3</w:t>
      </w:r>
    </w:p>
    <w:p>
      <w:pPr>
        <w:tabs>
          <w:tab w:pos="9072" w:val="right" w:leader="dot"/>
        </w:tabs>
        <w:spacing w:after="60"/>
      </w:pPr>
      <w:r>
        <w:rPr>
          <w:rFonts w:ascii="Arial" w:hAnsi="Arial"/>
          <w:b/>
          <w:color w:val="333333"/>
          <w:sz w:val="22"/>
        </w:rPr>
        <w:t>Learning Outcomes</w:t>
        <w:tab/>
        <w:t>3</w:t>
      </w:r>
    </w:p>
    <w:p>
      <w:pPr>
        <w:tabs>
          <w:tab w:pos="9072" w:val="right" w:leader="dot"/>
        </w:tabs>
        <w:spacing w:after="60"/>
      </w:pPr>
      <w:r>
        <w:rPr>
          <w:rFonts w:ascii="Arial" w:hAnsi="Arial"/>
          <w:b/>
          <w:color w:val="333333"/>
          <w:sz w:val="22"/>
        </w:rPr>
        <w:t>Daily Schedule</w:t>
        <w:tab/>
        <w:t>3</w:t>
      </w:r>
    </w:p>
    <w:p>
      <w:pPr>
        <w:tabs>
          <w:tab w:pos="9072" w:val="right" w:leader="dot"/>
        </w:tabs>
        <w:spacing w:after="60"/>
        <w:ind w:left="432"/>
      </w:pPr>
      <w:r>
        <w:rPr>
          <w:rFonts w:ascii="Arial" w:hAnsi="Arial"/>
          <w:b w:val="0"/>
          <w:color w:val="333333"/>
          <w:sz w:val="21"/>
        </w:rPr>
        <w:t>Day 1 — Foundations of Selling &amp; Selling Techniques and Problem-Solving</w:t>
        <w:tab/>
        <w:t>3</w:t>
      </w:r>
    </w:p>
    <w:p>
      <w:pPr>
        <w:tabs>
          <w:tab w:pos="9072" w:val="right" w:leader="dot"/>
        </w:tabs>
        <w:spacing w:after="60"/>
        <w:ind w:left="432"/>
      </w:pPr>
      <w:r>
        <w:rPr>
          <w:rFonts w:ascii="Arial" w:hAnsi="Arial"/>
          <w:b w:val="0"/>
          <w:color w:val="333333"/>
          <w:sz w:val="21"/>
        </w:rPr>
        <w:t>Day 2 — Closing the Sale and Handling Objections &amp; Rejections</w:t>
        <w:tab/>
        <w:t>4</w:t>
      </w:r>
    </w:p>
    <w:p>
      <w:pPr>
        <w:tabs>
          <w:tab w:pos="9072" w:val="right" w:leader="dot"/>
        </w:tabs>
        <w:spacing w:after="60"/>
      </w:pPr>
      <w:r>
        <w:rPr>
          <w:rFonts w:ascii="Arial" w:hAnsi="Arial"/>
          <w:b/>
          <w:color w:val="333333"/>
          <w:sz w:val="22"/>
        </w:rPr>
        <w:t>Topic-by-Topic Breakdown</w:t>
        <w:tab/>
        <w:t>5</w:t>
      </w:r>
    </w:p>
    <w:p>
      <w:pPr>
        <w:tabs>
          <w:tab w:pos="9072" w:val="right" w:leader="dot"/>
        </w:tabs>
        <w:spacing w:after="60"/>
        <w:ind w:left="432"/>
      </w:pPr>
      <w:r>
        <w:rPr>
          <w:rFonts w:ascii="Arial" w:hAnsi="Arial"/>
          <w:b w:val="0"/>
          <w:color w:val="333333"/>
          <w:sz w:val="21"/>
        </w:rPr>
        <w:t>LU1 — Foundations of Selling · Slide 9</w:t>
        <w:tab/>
        <w:t>5</w:t>
      </w:r>
    </w:p>
    <w:p>
      <w:pPr>
        <w:tabs>
          <w:tab w:pos="9072" w:val="right" w:leader="dot"/>
        </w:tabs>
        <w:spacing w:after="60"/>
        <w:ind w:left="432"/>
      </w:pPr>
      <w:r>
        <w:rPr>
          <w:rFonts w:ascii="Arial" w:hAnsi="Arial"/>
          <w:b w:val="0"/>
          <w:color w:val="333333"/>
          <w:sz w:val="21"/>
        </w:rPr>
        <w:t>LU2 — Selling Techniques &amp; Problem-Solving · Slide 46</w:t>
        <w:tab/>
        <w:t>6</w:t>
      </w:r>
    </w:p>
    <w:p>
      <w:pPr>
        <w:tabs>
          <w:tab w:pos="9072" w:val="right" w:leader="dot"/>
        </w:tabs>
        <w:spacing w:after="60"/>
        <w:ind w:left="432"/>
      </w:pPr>
      <w:r>
        <w:rPr>
          <w:rFonts w:ascii="Arial" w:hAnsi="Arial"/>
          <w:b w:val="0"/>
          <w:color w:val="333333"/>
          <w:sz w:val="21"/>
        </w:rPr>
        <w:t>LU3 — Closing the Sale · Slide 81</w:t>
        <w:tab/>
        <w:t>7</w:t>
      </w:r>
    </w:p>
    <w:p>
      <w:pPr>
        <w:tabs>
          <w:tab w:pos="9072" w:val="right" w:leader="dot"/>
        </w:tabs>
        <w:spacing w:after="60"/>
        <w:ind w:left="432"/>
      </w:pPr>
      <w:r>
        <w:rPr>
          <w:rFonts w:ascii="Arial" w:hAnsi="Arial"/>
          <w:b w:val="0"/>
          <w:color w:val="333333"/>
          <w:sz w:val="21"/>
        </w:rPr>
        <w:t>LU4 — Handling Objections &amp; Rejections · Slide 117</w:t>
        <w:tab/>
        <w:t>7</w:t>
      </w:r>
    </w:p>
    <w:p>
      <w:pPr>
        <w:tabs>
          <w:tab w:pos="9072" w:val="right" w:leader="dot"/>
        </w:tabs>
        <w:spacing w:after="60"/>
      </w:pPr>
      <w:r>
        <w:rPr>
          <w:rFonts w:ascii="Arial" w:hAnsi="Arial"/>
          <w:b/>
          <w:color w:val="333333"/>
          <w:sz w:val="22"/>
        </w:rPr>
        <w:t>Resources Required</w:t>
        <w:tab/>
        <w:t>8</w:t>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t>Achieving Sales Goals with Customer-Centric Selling Techniques</w:t>
            </w:r>
            <w:r>
              <w:rPr>
                <w:sz w:val="20"/>
              </w:rPr>
            </w:r>
          </w:p>
        </w:tc>
      </w:tr>
      <w:tr>
        <w:tc>
          <w:tcPr>
            <w:tcW w:type="dxa" w:w="4320"/>
            <w:shd w:val="clear" w:color="auto" w:fill="E8F0FE"/>
          </w:tcPr>
          <w:p>
            <w:r>
              <w:t>Course Reference</w:t>
            </w:r>
            <w:r>
              <w:rPr>
                <w:b/>
                <w:sz w:val="20"/>
              </w:rPr>
            </w:r>
          </w:p>
        </w:tc>
        <w:tc>
          <w:tcPr>
            <w:tcW w:type="dxa" w:w="4320"/>
          </w:tcPr>
          <w:p>
            <w:r>
              <w:t>C1088</w:t>
            </w:r>
            <w:r>
              <w:rPr>
                <w:sz w:val="20"/>
              </w:rPr>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t>2 days · 9:30am–5:30pm each day</w:t>
            </w:r>
            <w:r>
              <w:rPr>
                <w:sz w:val="20"/>
              </w:rPr>
            </w:r>
          </w:p>
        </w:tc>
      </w:tr>
      <w:tr>
        <w:tc>
          <w:tcPr>
            <w:tcW w:type="dxa" w:w="4320"/>
            <w:shd w:val="clear" w:color="auto" w:fill="E8F0FE"/>
          </w:tcPr>
          <w:p>
            <w:r/>
            <w:r>
              <w:rPr>
                <w:b/>
                <w:sz w:val="20"/>
              </w:rPr>
              <w:t>Daily Timing</w:t>
            </w:r>
          </w:p>
        </w:tc>
        <w:tc>
          <w:tcPr>
            <w:tcW w:type="dxa" w:w="4320"/>
          </w:tcPr>
          <w:p>
            <w:r>
              <w:t>7.5 instructional hours per day; a 30-minute lunch each day (not counted as instructional time)</w:t>
            </w:r>
            <w:r>
              <w:rPr>
                <w:sz w:val="20"/>
              </w:rPr>
            </w:r>
          </w:p>
        </w:tc>
      </w:tr>
      <w:tr>
        <w:tc>
          <w:tcPr>
            <w:tcW w:type="dxa" w:w="4320"/>
            <w:shd w:val="clear" w:color="auto" w:fill="E8F0FE"/>
          </w:tcPr>
          <w:p>
            <w:r/>
            <w:r>
              <w:rPr>
                <w:b/>
                <w:sz w:val="20"/>
              </w:rPr>
              <w:t>Mode</w:t>
            </w:r>
          </w:p>
        </w:tc>
        <w:tc>
          <w:tcPr>
            <w:tcW w:type="dxa" w:w="4320"/>
          </w:tcPr>
          <w:p>
            <w:r>
              <w:t>Instructor-led, with a role-play activity per Learning Unit</w:t>
            </w:r>
            <w:r>
              <w:rPr>
                <w:sz w:val="20"/>
              </w:rPr>
            </w:r>
          </w:p>
        </w:tc>
      </w:tr>
      <w:tr>
        <w:tc>
          <w:tcPr>
            <w:tcW w:type="dxa" w:w="4320"/>
            <w:shd w:val="clear" w:color="auto" w:fill="E8F0FE"/>
          </w:tcPr>
          <w:p>
            <w:r/>
            <w:r>
              <w:rPr>
                <w:b/>
                <w:sz w:val="20"/>
              </w:rPr>
              <w:t>Instructional Methods</w:t>
            </w:r>
          </w:p>
        </w:tc>
        <w:tc>
          <w:tcPr>
            <w:tcW w:type="dxa" w:w="4320"/>
          </w:tcPr>
          <w:p>
            <w:r/>
            <w:r>
              <w:rPr>
                <w:sz w:val="20"/>
              </w:rPr>
              <w:t>Lecture, peer sharing, role play</w:t>
            </w:r>
          </w:p>
        </w:tc>
      </w:tr>
      <w:tr>
        <w:tc>
          <w:tcPr>
            <w:tcW w:type="dxa" w:w="4320"/>
            <w:shd w:val="clear" w:color="auto" w:fill="E8F0FE"/>
          </w:tcPr>
          <w:p>
            <w:r/>
            <w:r>
              <w:rPr>
                <w:b/>
                <w:sz w:val="20"/>
              </w:rPr>
              <w:t>Recommended Class Size</w:t>
            </w:r>
          </w:p>
        </w:tc>
        <w:tc>
          <w:tcPr>
            <w:tcW w:type="dxa" w:w="4320"/>
          </w:tcPr>
          <w:p>
            <w:r/>
            <w:r>
              <w:rPr>
                <w:sz w:val="20"/>
              </w:rPr>
              <w:t>10</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Develop recommendation guidelines based on customer preferences and needs.</w:t>
      </w:r>
    </w:p>
    <w:p>
      <w:pPr>
        <w:pStyle w:val="ListBullet"/>
      </w:pPr>
      <w:r>
        <w:rPr>
          <w:sz w:val="21"/>
        </w:rPr>
        <w:t>LO2: Develop upselling and cross-selling techniques to enhance sales closure.</w:t>
      </w:r>
    </w:p>
    <w:p>
      <w:pPr>
        <w:pStyle w:val="ListBullet"/>
      </w:pPr>
      <w:r>
        <w:rPr>
          <w:sz w:val="21"/>
        </w:rPr>
        <w:t>LO3: Develop sales follow-up processes to improve customer engagement.</w:t>
      </w:r>
    </w:p>
    <w:p>
      <w:pPr>
        <w:pStyle w:val="ListBullet"/>
      </w:pPr>
      <w:r>
        <w:rPr>
          <w:sz w:val="21"/>
        </w:rPr>
        <w:t>LO4: Develop evaluation metrics for the sales closure process to measure performance.</w:t>
      </w:r>
    </w:p>
    <w:p>
      <w:pPr>
        <w:pStyle w:val="Heading1"/>
      </w:pPr>
      <w:r>
        <w:t>Daily Schedule</w:t>
      </w:r>
    </w:p>
    <w:p>
      <w:pPr>
        <w:pStyle w:val="Heading2"/>
      </w:pPr>
      <w:r>
        <w:t>Day 1 — Foundations of Selling &amp; Selling Techniques and Problem-Solving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6048"/>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9:30–9:35</w:t>
            </w:r>
          </w:p>
        </w:tc>
        <w:tc>
          <w:tcPr>
            <w:tcW w:type="dxa" w:w="1152"/>
            <w:shd w:val="clear" w:color="auto" w:fill="F3F5F8"/>
          </w:tcPr>
          <w:p>
            <w:r/>
            <w:r>
              <w:rPr>
                <w:rFonts w:ascii="Arial" w:hAnsi="Arial"/>
                <w:b w:val="0"/>
                <w:sz w:val="19"/>
              </w:rPr>
              <w:t>5 min</w:t>
            </w:r>
          </w:p>
        </w:tc>
        <w:tc>
          <w:tcPr>
            <w:tcW w:type="dxa" w:w="6048"/>
            <w:shd w:val="clear" w:color="auto" w:fill="F3F5F8"/>
          </w:tcPr>
          <w:p>
            <w:r/>
            <w:r>
              <w:rPr>
                <w:rFonts w:ascii="Arial" w:hAnsi="Arial"/>
                <w:b w:val="0"/>
                <w:sz w:val="19"/>
              </w:rPr>
              <w:t>Trainer introduction, learner introduction &amp; ice-breaker, overview of course structure, Ground Rules</w:t>
            </w:r>
          </w:p>
        </w:tc>
        <w:tc>
          <w:tcPr>
            <w:tcW w:type="dxa" w:w="1584"/>
            <w:shd w:val="clear" w:color="auto" w:fill="F3F5F8"/>
          </w:tcPr>
          <w:p>
            <w:pPr>
              <w:jc w:val="center"/>
            </w:pPr>
            <w:r/>
            <w:r>
              <w:rPr>
                <w:rFonts w:ascii="Arial" w:hAnsi="Arial"/>
                <w:b w:val="0"/>
                <w:sz w:val="19"/>
              </w:rPr>
              <w:t>—</w:t>
            </w:r>
          </w:p>
        </w:tc>
      </w:tr>
      <w:tr>
        <w:tc>
          <w:tcPr>
            <w:tcW w:type="dxa" w:w="1440"/>
            <w:shd w:val="clear" w:color="auto" w:fill="E8F0FE"/>
          </w:tcPr>
          <w:p>
            <w:r/>
            <w:r>
              <w:rPr>
                <w:rFonts w:ascii="Arial" w:hAnsi="Arial"/>
                <w:b/>
                <w:sz w:val="19"/>
              </w:rPr>
              <w:t>9:35–11:55</w:t>
            </w:r>
          </w:p>
        </w:tc>
        <w:tc>
          <w:tcPr>
            <w:tcW w:type="dxa" w:w="1152"/>
            <w:shd w:val="clear" w:color="auto" w:fill="E8F0FE"/>
          </w:tcPr>
          <w:p>
            <w:r/>
            <w:r>
              <w:rPr>
                <w:rFonts w:ascii="Arial" w:hAnsi="Arial"/>
                <w:b w:val="0"/>
                <w:sz w:val="19"/>
              </w:rPr>
              <w:t>140 min</w:t>
            </w:r>
          </w:p>
        </w:tc>
        <w:tc>
          <w:tcPr>
            <w:tcW w:type="dxa" w:w="6048"/>
            <w:shd w:val="clear" w:color="auto" w:fill="E8F0FE"/>
          </w:tcPr>
          <w:p>
            <w:r/>
            <w:r>
              <w:rPr>
                <w:rFonts w:ascii="Arial" w:hAnsi="Arial"/>
                <w:b/>
                <w:sz w:val="19"/>
              </w:rPr>
              <w:t xml:space="preserve">LU1: Foundations of Selling — </w:t>
            </w:r>
            <w:r>
              <w:rPr>
                <w:rFonts w:ascii="Arial" w:hAnsi="Arial"/>
                <w:b w:val="0"/>
                <w:sz w:val="19"/>
              </w:rPr>
              <w:t>Selling Mindset, Empathy as a Sales Skill, Sales Strategy</w:t>
            </w:r>
          </w:p>
        </w:tc>
        <w:tc>
          <w:tcPr>
            <w:tcW w:type="dxa" w:w="1584"/>
            <w:shd w:val="clear" w:color="auto" w:fill="E8F0FE"/>
          </w:tcPr>
          <w:p>
            <w:pPr>
              <w:jc w:val="center"/>
            </w:pPr>
            <w:r/>
            <w:r>
              <w:rPr>
                <w:rFonts w:ascii="Arial" w:hAnsi="Arial"/>
                <w:b w:val="0"/>
                <w:sz w:val="19"/>
              </w:rPr>
              <w:t>Slide 9</w:t>
            </w:r>
          </w:p>
        </w:tc>
      </w:tr>
      <w:tr>
        <w:tc>
          <w:tcPr>
            <w:tcW w:type="dxa" w:w="1440"/>
            <w:shd w:val="clear" w:color="auto" w:fill="FDE9D9"/>
          </w:tcPr>
          <w:p>
            <w:r/>
            <w:r>
              <w:rPr>
                <w:rFonts w:ascii="Arial" w:hAnsi="Arial"/>
                <w:b w:val="0"/>
                <w:sz w:val="19"/>
              </w:rPr>
              <w:t>11:55–12:25</w:t>
            </w:r>
          </w:p>
        </w:tc>
        <w:tc>
          <w:tcPr>
            <w:tcW w:type="dxa" w:w="1152"/>
            <w:shd w:val="clear" w:color="auto" w:fill="FDE9D9"/>
          </w:tcPr>
          <w:p>
            <w:r/>
            <w:r>
              <w:rPr>
                <w:rFonts w:ascii="Arial" w:hAnsi="Arial"/>
                <w:b w:val="0"/>
                <w:sz w:val="19"/>
              </w:rPr>
              <w:t>30 min</w:t>
            </w:r>
          </w:p>
        </w:tc>
        <w:tc>
          <w:tcPr>
            <w:tcW w:type="dxa" w:w="6048"/>
            <w:shd w:val="clear" w:color="auto" w:fill="FDE9D9"/>
          </w:tcPr>
          <w:p>
            <w:r/>
            <w:r>
              <w:rPr>
                <w:rFonts w:ascii="Arial" w:hAnsi="Arial"/>
                <w:b w:val="0"/>
                <w:sz w:val="19"/>
              </w:rPr>
              <w:t>Lunch break</w:t>
            </w:r>
          </w:p>
        </w:tc>
        <w:tc>
          <w:tcPr>
            <w:tcW w:type="dxa" w:w="1584"/>
            <w:shd w:val="clear" w:color="auto" w:fill="FDE9D9"/>
          </w:tcPr>
          <w:p>
            <w:pPr>
              <w:jc w:val="center"/>
            </w:pPr>
            <w:r/>
            <w:r>
              <w:rPr>
                <w:rFonts w:ascii="Arial" w:hAnsi="Arial"/>
                <w:b w:val="0"/>
                <w:sz w:val="19"/>
              </w:rPr>
              <w:t>—</w:t>
            </w:r>
          </w:p>
        </w:tc>
      </w:tr>
      <w:tr>
        <w:tc>
          <w:tcPr>
            <w:tcW w:type="dxa" w:w="1440"/>
            <w:shd w:val="clear" w:color="auto" w:fill="E8F0FE"/>
          </w:tcPr>
          <w:p>
            <w:r/>
            <w:r>
              <w:rPr>
                <w:rFonts w:ascii="Arial" w:hAnsi="Arial"/>
                <w:b/>
                <w:sz w:val="19"/>
              </w:rPr>
              <w:t>12:25–12:55</w:t>
            </w:r>
          </w:p>
        </w:tc>
        <w:tc>
          <w:tcPr>
            <w:tcW w:type="dxa" w:w="1152"/>
            <w:shd w:val="clear" w:color="auto" w:fill="E8F0FE"/>
          </w:tcPr>
          <w:p>
            <w:r/>
            <w:r>
              <w:rPr>
                <w:rFonts w:ascii="Arial" w:hAnsi="Arial"/>
                <w:b w:val="0"/>
                <w:sz w:val="19"/>
              </w:rPr>
              <w:t>30 min</w:t>
            </w:r>
          </w:p>
        </w:tc>
        <w:tc>
          <w:tcPr>
            <w:tcW w:type="dxa" w:w="6048"/>
            <w:shd w:val="clear" w:color="auto" w:fill="E8F0FE"/>
          </w:tcPr>
          <w:p>
            <w:r/>
            <w:r>
              <w:rPr>
                <w:rFonts w:ascii="Arial" w:hAnsi="Arial"/>
                <w:b/>
                <w:sz w:val="19"/>
              </w:rPr>
              <w:t xml:space="preserve">LU1: Foundations of Selling (cont'd) — </w:t>
            </w:r>
            <w:r>
              <w:rPr>
                <w:rFonts w:ascii="Arial" w:hAnsi="Arial"/>
                <w:b w:val="0"/>
                <w:sz w:val="19"/>
              </w:rPr>
              <w:t>Understanding Buyer Psychology, Discovery Process</w:t>
            </w:r>
          </w:p>
        </w:tc>
        <w:tc>
          <w:tcPr>
            <w:tcW w:type="dxa" w:w="1584"/>
            <w:shd w:val="clear" w:color="auto" w:fill="E8F0FE"/>
          </w:tcPr>
          <w:p>
            <w:pPr>
              <w:jc w:val="center"/>
            </w:pPr>
            <w:r/>
            <w:r>
              <w:rPr>
                <w:rFonts w:ascii="Arial" w:hAnsi="Arial"/>
                <w:b w:val="0"/>
                <w:sz w:val="19"/>
              </w:rPr>
              <w:t>—</w:t>
            </w:r>
          </w:p>
        </w:tc>
      </w:tr>
      <w:tr>
        <w:tc>
          <w:tcPr>
            <w:tcW w:type="dxa" w:w="1440"/>
          </w:tcPr>
          <w:p>
            <w:r/>
            <w:r>
              <w:rPr>
                <w:rFonts w:ascii="Arial" w:hAnsi="Arial"/>
                <w:b w:val="0"/>
                <w:sz w:val="19"/>
              </w:rPr>
              <w:t>12:55–13:55</w:t>
            </w:r>
          </w:p>
        </w:tc>
        <w:tc>
          <w:tcPr>
            <w:tcW w:type="dxa" w:w="1152"/>
          </w:tcPr>
          <w:p>
            <w:r/>
            <w:r>
              <w:rPr>
                <w:rFonts w:ascii="Arial" w:hAnsi="Arial"/>
                <w:b w:val="0"/>
                <w:sz w:val="19"/>
              </w:rPr>
              <w:t>60 min</w:t>
            </w:r>
          </w:p>
        </w:tc>
        <w:tc>
          <w:tcPr>
            <w:tcW w:type="dxa" w:w="6048"/>
          </w:tcPr>
          <w:p>
            <w:r/>
            <w:r>
              <w:rPr>
                <w:rFonts w:ascii="Arial" w:hAnsi="Arial"/>
                <w:b w:val="0"/>
                <w:sz w:val="19"/>
              </w:rPr>
              <w:t>Role Play: Foundations of Selling</w:t>
            </w:r>
          </w:p>
        </w:tc>
        <w:tc>
          <w:tcPr>
            <w:tcW w:type="dxa" w:w="1584"/>
          </w:tcPr>
          <w:p>
            <w:pPr>
              <w:jc w:val="center"/>
            </w:pPr>
            <w:r/>
            <w:r>
              <w:rPr>
                <w:rFonts w:ascii="Arial" w:hAnsi="Arial"/>
                <w:b w:val="0"/>
                <w:sz w:val="19"/>
              </w:rPr>
              <w:t>Slide 40</w:t>
            </w:r>
          </w:p>
        </w:tc>
      </w:tr>
      <w:tr>
        <w:tc>
          <w:tcPr>
            <w:tcW w:type="dxa" w:w="1440"/>
            <w:shd w:val="clear" w:color="auto" w:fill="E8F0FE"/>
          </w:tcPr>
          <w:p>
            <w:r/>
            <w:r>
              <w:rPr>
                <w:rFonts w:ascii="Arial" w:hAnsi="Arial"/>
                <w:b/>
                <w:sz w:val="19"/>
              </w:rPr>
              <w:t>13:55–14:35</w:t>
            </w:r>
          </w:p>
        </w:tc>
        <w:tc>
          <w:tcPr>
            <w:tcW w:type="dxa" w:w="1152"/>
            <w:shd w:val="clear" w:color="auto" w:fill="E8F0FE"/>
          </w:tcPr>
          <w:p>
            <w:r/>
            <w:r>
              <w:rPr>
                <w:rFonts w:ascii="Arial" w:hAnsi="Arial"/>
                <w:b w:val="0"/>
                <w:sz w:val="19"/>
              </w:rPr>
              <w:t>40 min</w:t>
            </w:r>
          </w:p>
        </w:tc>
        <w:tc>
          <w:tcPr>
            <w:tcW w:type="dxa" w:w="6048"/>
            <w:shd w:val="clear" w:color="auto" w:fill="E8F0FE"/>
          </w:tcPr>
          <w:p>
            <w:r/>
            <w:r>
              <w:rPr>
                <w:rFonts w:ascii="Arial" w:hAnsi="Arial"/>
                <w:b/>
                <w:sz w:val="19"/>
              </w:rPr>
              <w:t xml:space="preserve">LU2: Selling Techniques &amp; Problem-Solving — </w:t>
            </w:r>
            <w:r>
              <w:rPr>
                <w:rFonts w:ascii="Arial" w:hAnsi="Arial"/>
                <w:b w:val="0"/>
                <w:sz w:val="19"/>
              </w:rPr>
              <w:t>Problem-Based Selling, Running a Great Demo</w:t>
            </w:r>
          </w:p>
        </w:tc>
        <w:tc>
          <w:tcPr>
            <w:tcW w:type="dxa" w:w="1584"/>
            <w:shd w:val="clear" w:color="auto" w:fill="E8F0FE"/>
          </w:tcPr>
          <w:p>
            <w:pPr>
              <w:jc w:val="center"/>
            </w:pPr>
            <w:r/>
            <w:r>
              <w:rPr>
                <w:rFonts w:ascii="Arial" w:hAnsi="Arial"/>
                <w:b w:val="0"/>
                <w:sz w:val="19"/>
              </w:rPr>
              <w:t>Slide 46</w:t>
            </w:r>
          </w:p>
        </w:tc>
      </w:tr>
      <w:tr>
        <w:tc>
          <w:tcPr>
            <w:tcW w:type="dxa" w:w="1440"/>
            <w:shd w:val="clear" w:color="auto" w:fill="E8F0FE"/>
          </w:tcPr>
          <w:p>
            <w:r/>
            <w:r>
              <w:rPr>
                <w:rFonts w:ascii="Arial" w:hAnsi="Arial"/>
                <w:b/>
                <w:sz w:val="19"/>
              </w:rPr>
              <w:t>14:35–16:25</w:t>
            </w:r>
          </w:p>
        </w:tc>
        <w:tc>
          <w:tcPr>
            <w:tcW w:type="dxa" w:w="1152"/>
            <w:shd w:val="clear" w:color="auto" w:fill="E8F0FE"/>
          </w:tcPr>
          <w:p>
            <w:r/>
            <w:r>
              <w:rPr>
                <w:rFonts w:ascii="Arial" w:hAnsi="Arial"/>
                <w:b w:val="0"/>
                <w:sz w:val="19"/>
              </w:rPr>
              <w:t>110 min</w:t>
            </w:r>
          </w:p>
        </w:tc>
        <w:tc>
          <w:tcPr>
            <w:tcW w:type="dxa" w:w="6048"/>
            <w:shd w:val="clear" w:color="auto" w:fill="E8F0FE"/>
          </w:tcPr>
          <w:p>
            <w:r/>
            <w:r>
              <w:rPr>
                <w:rFonts w:ascii="Arial" w:hAnsi="Arial"/>
                <w:b/>
                <w:sz w:val="19"/>
              </w:rPr>
              <w:t xml:space="preserve">LU2: Selling Techniques &amp; Problem-Solving (cont'd) — </w:t>
            </w:r>
            <w:r>
              <w:rPr>
                <w:rFonts w:ascii="Arial" w:hAnsi="Arial"/>
                <w:b w:val="0"/>
                <w:sz w:val="19"/>
              </w:rPr>
              <w:t>Upselling &amp; Cross-Selling, Personalisation That Converts, Champion Selling</w:t>
            </w:r>
          </w:p>
        </w:tc>
        <w:tc>
          <w:tcPr>
            <w:tcW w:type="dxa" w:w="1584"/>
            <w:shd w:val="clear" w:color="auto" w:fill="E8F0FE"/>
          </w:tcPr>
          <w:p>
            <w:pPr>
              <w:jc w:val="center"/>
            </w:pPr>
            <w:r/>
            <w:r>
              <w:rPr>
                <w:rFonts w:ascii="Arial" w:hAnsi="Arial"/>
                <w:b w:val="0"/>
                <w:sz w:val="19"/>
              </w:rPr>
              <w:t>—</w:t>
            </w:r>
          </w:p>
        </w:tc>
      </w:tr>
      <w:tr>
        <w:tc>
          <w:tcPr>
            <w:tcW w:type="dxa" w:w="1440"/>
          </w:tcPr>
          <w:p>
            <w:r/>
            <w:r>
              <w:rPr>
                <w:rFonts w:ascii="Arial" w:hAnsi="Arial"/>
                <w:b w:val="0"/>
                <w:sz w:val="19"/>
              </w:rPr>
              <w:t>16:25–17:25</w:t>
            </w:r>
          </w:p>
        </w:tc>
        <w:tc>
          <w:tcPr>
            <w:tcW w:type="dxa" w:w="1152"/>
          </w:tcPr>
          <w:p>
            <w:r/>
            <w:r>
              <w:rPr>
                <w:rFonts w:ascii="Arial" w:hAnsi="Arial"/>
                <w:b w:val="0"/>
                <w:sz w:val="19"/>
              </w:rPr>
              <w:t>60 min</w:t>
            </w:r>
          </w:p>
        </w:tc>
        <w:tc>
          <w:tcPr>
            <w:tcW w:type="dxa" w:w="6048"/>
          </w:tcPr>
          <w:p>
            <w:r/>
            <w:r>
              <w:rPr>
                <w:rFonts w:ascii="Arial" w:hAnsi="Arial"/>
                <w:b w:val="0"/>
                <w:sz w:val="19"/>
              </w:rPr>
              <w:t>Role Play: Selling Techniques &amp; Problem-Solving</w:t>
            </w:r>
          </w:p>
        </w:tc>
        <w:tc>
          <w:tcPr>
            <w:tcW w:type="dxa" w:w="1584"/>
          </w:tcPr>
          <w:p>
            <w:pPr>
              <w:jc w:val="center"/>
            </w:pPr>
            <w:r/>
            <w:r>
              <w:rPr>
                <w:rFonts w:ascii="Arial" w:hAnsi="Arial"/>
                <w:b w:val="0"/>
                <w:sz w:val="19"/>
              </w:rPr>
              <w:t>Slide 75</w:t>
            </w:r>
          </w:p>
        </w:tc>
      </w:tr>
      <w:tr>
        <w:tc>
          <w:tcPr>
            <w:tcW w:type="dxa" w:w="1440"/>
            <w:shd w:val="clear" w:color="auto" w:fill="F3F5F8"/>
          </w:tcPr>
          <w:p>
            <w:r/>
            <w:r>
              <w:rPr>
                <w:rFonts w:ascii="Arial" w:hAnsi="Arial"/>
                <w:b w:val="0"/>
                <w:sz w:val="19"/>
              </w:rPr>
              <w:t>17:25–17:30</w:t>
            </w:r>
          </w:p>
        </w:tc>
        <w:tc>
          <w:tcPr>
            <w:tcW w:type="dxa" w:w="1152"/>
            <w:shd w:val="clear" w:color="auto" w:fill="F3F5F8"/>
          </w:tcPr>
          <w:p>
            <w:r/>
            <w:r>
              <w:rPr>
                <w:rFonts w:ascii="Arial" w:hAnsi="Arial"/>
                <w:b w:val="0"/>
                <w:sz w:val="19"/>
              </w:rPr>
              <w:t>5 min</w:t>
            </w:r>
          </w:p>
        </w:tc>
        <w:tc>
          <w:tcPr>
            <w:tcW w:type="dxa" w:w="6048"/>
            <w:shd w:val="clear" w:color="auto" w:fill="F3F5F8"/>
          </w:tcPr>
          <w:p>
            <w:r/>
            <w:r>
              <w:rPr>
                <w:rFonts w:ascii="Arial" w:hAnsi="Arial"/>
                <w:b w:val="0"/>
                <w:sz w:val="19"/>
              </w:rPr>
              <w:t>Recap of Day 1 and close</w:t>
            </w:r>
          </w:p>
        </w:tc>
        <w:tc>
          <w:tcPr>
            <w:tcW w:type="dxa" w:w="1584"/>
            <w:shd w:val="clear" w:color="auto" w:fill="F3F5F8"/>
          </w:tcPr>
          <w:p>
            <w:pPr>
              <w:jc w:val="center"/>
            </w:pPr>
            <w:r/>
            <w:r>
              <w:rPr>
                <w:rFonts w:ascii="Arial" w:hAnsi="Arial"/>
                <w:b w:val="0"/>
                <w:sz w:val="19"/>
              </w:rPr>
              <w:t>—</w:t>
            </w:r>
          </w:p>
        </w:tc>
      </w:tr>
    </w:tbl>
    <w:p>
      <w:r>
        <w:rPr>
          <w:i/>
          <w:color w:val="555B66"/>
          <w:sz w:val="19"/>
        </w:rPr>
        <w:t>Total: 450 minutes (7.5 hours) of instructional time, plus a 30-minute lunch — 480 minutes elapsed, 9:30am–5:30pm.</w:t>
      </w:r>
    </w:p>
    <w:p>
      <w:pPr>
        <w:pStyle w:val="Heading2"/>
      </w:pPr>
      <w:r>
        <w:t>Day 2 — Closing the Sale and Handling Objections &amp; Rejections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6048"/>
            <w:shd w:val="clear" w:color="auto" w:fill="1F6FEB"/>
          </w:tcPr>
          <w:p>
            <w:r/>
            <w:r>
              <w:rPr>
                <w:rFonts w:ascii="Arial" w:hAnsi="Arial"/>
                <w:b/>
                <w:color w:val="FFFFFF"/>
                <w:sz w:val="20"/>
              </w:rPr>
              <w:t>Topic / Activity</w:t>
            </w:r>
          </w:p>
        </w:tc>
        <w:tc>
          <w:tcPr>
            <w:tcW w:type="dxa" w:w="1584"/>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9:30–9:35</w:t>
            </w:r>
          </w:p>
        </w:tc>
        <w:tc>
          <w:tcPr>
            <w:tcW w:type="dxa" w:w="1152"/>
            <w:shd w:val="clear" w:color="auto" w:fill="F3F5F8"/>
          </w:tcPr>
          <w:p>
            <w:r/>
            <w:r>
              <w:rPr>
                <w:rFonts w:ascii="Arial" w:hAnsi="Arial"/>
                <w:b w:val="0"/>
                <w:sz w:val="19"/>
              </w:rPr>
              <w:t>5 min</w:t>
            </w:r>
          </w:p>
        </w:tc>
        <w:tc>
          <w:tcPr>
            <w:tcW w:type="dxa" w:w="6048"/>
            <w:shd w:val="clear" w:color="auto" w:fill="F3F5F8"/>
          </w:tcPr>
          <w:p>
            <w:r/>
            <w:r>
              <w:rPr>
                <w:rFonts w:ascii="Arial" w:hAnsi="Arial"/>
                <w:b w:val="0"/>
                <w:sz w:val="19"/>
              </w:rPr>
              <w:t>Recap of Day 1</w:t>
            </w:r>
          </w:p>
        </w:tc>
        <w:tc>
          <w:tcPr>
            <w:tcW w:type="dxa" w:w="1584"/>
            <w:shd w:val="clear" w:color="auto" w:fill="F3F5F8"/>
          </w:tcPr>
          <w:p>
            <w:pPr>
              <w:jc w:val="center"/>
            </w:pPr>
            <w:r/>
            <w:r>
              <w:rPr>
                <w:rFonts w:ascii="Arial" w:hAnsi="Arial"/>
                <w:b w:val="0"/>
                <w:sz w:val="19"/>
              </w:rPr>
              <w:t>—</w:t>
            </w:r>
          </w:p>
        </w:tc>
      </w:tr>
      <w:tr>
        <w:tc>
          <w:tcPr>
            <w:tcW w:type="dxa" w:w="1440"/>
            <w:shd w:val="clear" w:color="auto" w:fill="E8F0FE"/>
          </w:tcPr>
          <w:p>
            <w:r/>
            <w:r>
              <w:rPr>
                <w:rFonts w:ascii="Arial" w:hAnsi="Arial"/>
                <w:b/>
                <w:sz w:val="19"/>
              </w:rPr>
              <w:t>9:35–12:30</w:t>
            </w:r>
          </w:p>
        </w:tc>
        <w:tc>
          <w:tcPr>
            <w:tcW w:type="dxa" w:w="1152"/>
            <w:shd w:val="clear" w:color="auto" w:fill="E8F0FE"/>
          </w:tcPr>
          <w:p>
            <w:r/>
            <w:r>
              <w:rPr>
                <w:rFonts w:ascii="Arial" w:hAnsi="Arial"/>
                <w:b w:val="0"/>
                <w:sz w:val="19"/>
              </w:rPr>
              <w:t>175 min</w:t>
            </w:r>
          </w:p>
        </w:tc>
        <w:tc>
          <w:tcPr>
            <w:tcW w:type="dxa" w:w="6048"/>
            <w:shd w:val="clear" w:color="auto" w:fill="E8F0FE"/>
          </w:tcPr>
          <w:p>
            <w:r/>
            <w:r>
              <w:rPr>
                <w:rFonts w:ascii="Arial" w:hAnsi="Arial"/>
                <w:b/>
                <w:sz w:val="19"/>
              </w:rPr>
              <w:t xml:space="preserve">LU3: Closing the Sale — </w:t>
            </w:r>
            <w:r>
              <w:rPr>
                <w:rFonts w:ascii="Arial" w:hAnsi="Arial"/>
                <w:b w:val="0"/>
                <w:sz w:val="19"/>
              </w:rPr>
              <w:t>What a Close Really Is, Closing Techniques That Respect the Buyer, Justifying the Price</w:t>
            </w:r>
          </w:p>
        </w:tc>
        <w:tc>
          <w:tcPr>
            <w:tcW w:type="dxa" w:w="1584"/>
            <w:shd w:val="clear" w:color="auto" w:fill="E8F0FE"/>
          </w:tcPr>
          <w:p>
            <w:pPr>
              <w:jc w:val="center"/>
            </w:pPr>
            <w:r/>
            <w:r>
              <w:rPr>
                <w:rFonts w:ascii="Arial" w:hAnsi="Arial"/>
                <w:b w:val="0"/>
                <w:sz w:val="19"/>
              </w:rPr>
              <w:t>Slide 81</w:t>
            </w:r>
          </w:p>
        </w:tc>
      </w:tr>
      <w:tr>
        <w:tc>
          <w:tcPr>
            <w:tcW w:type="dxa" w:w="1440"/>
            <w:shd w:val="clear" w:color="auto" w:fill="FDE9D9"/>
          </w:tcPr>
          <w:p>
            <w:r/>
            <w:r>
              <w:rPr>
                <w:rFonts w:ascii="Arial" w:hAnsi="Arial"/>
                <w:b w:val="0"/>
                <w:sz w:val="19"/>
              </w:rPr>
              <w:t>12:30–13:00</w:t>
            </w:r>
          </w:p>
        </w:tc>
        <w:tc>
          <w:tcPr>
            <w:tcW w:type="dxa" w:w="1152"/>
            <w:shd w:val="clear" w:color="auto" w:fill="FDE9D9"/>
          </w:tcPr>
          <w:p>
            <w:r/>
            <w:r>
              <w:rPr>
                <w:rFonts w:ascii="Arial" w:hAnsi="Arial"/>
                <w:b w:val="0"/>
                <w:sz w:val="19"/>
              </w:rPr>
              <w:t>30 min</w:t>
            </w:r>
          </w:p>
        </w:tc>
        <w:tc>
          <w:tcPr>
            <w:tcW w:type="dxa" w:w="6048"/>
            <w:shd w:val="clear" w:color="auto" w:fill="FDE9D9"/>
          </w:tcPr>
          <w:p>
            <w:r/>
            <w:r>
              <w:rPr>
                <w:rFonts w:ascii="Arial" w:hAnsi="Arial"/>
                <w:b w:val="0"/>
                <w:sz w:val="19"/>
              </w:rPr>
              <w:t>Lunch break</w:t>
            </w:r>
          </w:p>
        </w:tc>
        <w:tc>
          <w:tcPr>
            <w:tcW w:type="dxa" w:w="1584"/>
            <w:shd w:val="clear" w:color="auto" w:fill="FDE9D9"/>
          </w:tcPr>
          <w:p>
            <w:pPr>
              <w:jc w:val="center"/>
            </w:pPr>
            <w:r/>
            <w:r>
              <w:rPr>
                <w:rFonts w:ascii="Arial" w:hAnsi="Arial"/>
                <w:b w:val="0"/>
                <w:sz w:val="19"/>
              </w:rPr>
              <w:t>—</w:t>
            </w:r>
          </w:p>
        </w:tc>
      </w:tr>
      <w:tr>
        <w:tc>
          <w:tcPr>
            <w:tcW w:type="dxa" w:w="1440"/>
          </w:tcPr>
          <w:p>
            <w:r/>
            <w:r>
              <w:rPr>
                <w:rFonts w:ascii="Arial" w:hAnsi="Arial"/>
                <w:b w:val="0"/>
                <w:sz w:val="19"/>
              </w:rPr>
              <w:t>13:00–14:00</w:t>
            </w:r>
          </w:p>
        </w:tc>
        <w:tc>
          <w:tcPr>
            <w:tcW w:type="dxa" w:w="1152"/>
          </w:tcPr>
          <w:p>
            <w:r/>
            <w:r>
              <w:rPr>
                <w:rFonts w:ascii="Arial" w:hAnsi="Arial"/>
                <w:b w:val="0"/>
                <w:sz w:val="19"/>
              </w:rPr>
              <w:t>60 min</w:t>
            </w:r>
          </w:p>
        </w:tc>
        <w:tc>
          <w:tcPr>
            <w:tcW w:type="dxa" w:w="6048"/>
          </w:tcPr>
          <w:p>
            <w:r/>
            <w:r>
              <w:rPr>
                <w:rFonts w:ascii="Arial" w:hAnsi="Arial"/>
                <w:b w:val="0"/>
                <w:sz w:val="19"/>
              </w:rPr>
              <w:t>Role Play: Closing the Sale</w:t>
            </w:r>
          </w:p>
        </w:tc>
        <w:tc>
          <w:tcPr>
            <w:tcW w:type="dxa" w:w="1584"/>
          </w:tcPr>
          <w:p>
            <w:pPr>
              <w:jc w:val="center"/>
            </w:pPr>
            <w:r/>
            <w:r>
              <w:rPr>
                <w:rFonts w:ascii="Arial" w:hAnsi="Arial"/>
                <w:b w:val="0"/>
                <w:sz w:val="19"/>
              </w:rPr>
              <w:t>Slide 111</w:t>
            </w:r>
          </w:p>
        </w:tc>
      </w:tr>
      <w:tr>
        <w:tc>
          <w:tcPr>
            <w:tcW w:type="dxa" w:w="1440"/>
            <w:shd w:val="clear" w:color="auto" w:fill="E8F0FE"/>
          </w:tcPr>
          <w:p>
            <w:r/>
            <w:r>
              <w:rPr>
                <w:rFonts w:ascii="Arial" w:hAnsi="Arial"/>
                <w:b/>
                <w:sz w:val="19"/>
              </w:rPr>
              <w:t>14:00–16:30</w:t>
            </w:r>
          </w:p>
        </w:tc>
        <w:tc>
          <w:tcPr>
            <w:tcW w:type="dxa" w:w="1152"/>
            <w:shd w:val="clear" w:color="auto" w:fill="E8F0FE"/>
          </w:tcPr>
          <w:p>
            <w:r/>
            <w:r>
              <w:rPr>
                <w:rFonts w:ascii="Arial" w:hAnsi="Arial"/>
                <w:b w:val="0"/>
                <w:sz w:val="19"/>
              </w:rPr>
              <w:t>150 min</w:t>
            </w:r>
          </w:p>
        </w:tc>
        <w:tc>
          <w:tcPr>
            <w:tcW w:type="dxa" w:w="6048"/>
            <w:shd w:val="clear" w:color="auto" w:fill="E8F0FE"/>
          </w:tcPr>
          <w:p>
            <w:r/>
            <w:r>
              <w:rPr>
                <w:rFonts w:ascii="Arial" w:hAnsi="Arial"/>
                <w:b/>
                <w:sz w:val="19"/>
              </w:rPr>
              <w:t xml:space="preserve">LU3: Closing the Sale (cont'd) — </w:t>
            </w:r>
            <w:r>
              <w:rPr>
                <w:rFonts w:ascii="Arial" w:hAnsi="Arial"/>
                <w:b w:val="0"/>
                <w:sz w:val="19"/>
              </w:rPr>
              <w:t>Making It Easy to Buy, Proper Follow-Up; LU4: Handling Objections &amp; Rejections — Objection vs Deflection vs Rejection, the Objection-Handling Framework, Staying Composed Under Pressure, Testimonials &amp; Social Proof, Metrics of the Sales Closure Process</w:t>
            </w:r>
          </w:p>
        </w:tc>
        <w:tc>
          <w:tcPr>
            <w:tcW w:type="dxa" w:w="1584"/>
            <w:shd w:val="clear" w:color="auto" w:fill="E8F0FE"/>
          </w:tcPr>
          <w:p>
            <w:pPr>
              <w:jc w:val="center"/>
            </w:pPr>
            <w:r/>
            <w:r>
              <w:rPr>
                <w:rFonts w:ascii="Arial" w:hAnsi="Arial"/>
                <w:b w:val="0"/>
                <w:sz w:val="19"/>
              </w:rPr>
              <w:t>Slide 117</w:t>
            </w:r>
          </w:p>
        </w:tc>
      </w:tr>
      <w:tr>
        <w:tc>
          <w:tcPr>
            <w:tcW w:type="dxa" w:w="1440"/>
          </w:tcPr>
          <w:p>
            <w:r/>
            <w:r>
              <w:rPr>
                <w:rFonts w:ascii="Arial" w:hAnsi="Arial"/>
                <w:b w:val="0"/>
                <w:sz w:val="19"/>
              </w:rPr>
              <w:t>16:30–17:30</w:t>
            </w:r>
          </w:p>
        </w:tc>
        <w:tc>
          <w:tcPr>
            <w:tcW w:type="dxa" w:w="1152"/>
          </w:tcPr>
          <w:p>
            <w:r/>
            <w:r>
              <w:rPr>
                <w:rFonts w:ascii="Arial" w:hAnsi="Arial"/>
                <w:b w:val="0"/>
                <w:sz w:val="19"/>
              </w:rPr>
              <w:t>60 min</w:t>
            </w:r>
          </w:p>
        </w:tc>
        <w:tc>
          <w:tcPr>
            <w:tcW w:type="dxa" w:w="6048"/>
          </w:tcPr>
          <w:p>
            <w:r/>
            <w:r>
              <w:rPr>
                <w:rFonts w:ascii="Arial" w:hAnsi="Arial"/>
                <w:b w:val="0"/>
                <w:sz w:val="19"/>
              </w:rPr>
              <w:t>Role Play: Handling Objections &amp; Rejections; Course Feedback</w:t>
            </w:r>
          </w:p>
        </w:tc>
        <w:tc>
          <w:tcPr>
            <w:tcW w:type="dxa" w:w="1584"/>
          </w:tcPr>
          <w:p>
            <w:pPr>
              <w:jc w:val="center"/>
            </w:pPr>
            <w:r/>
            <w:r>
              <w:rPr>
                <w:rFonts w:ascii="Arial" w:hAnsi="Arial"/>
                <w:b w:val="0"/>
                <w:sz w:val="19"/>
              </w:rPr>
              <w:t>Slide 147</w:t>
            </w:r>
          </w:p>
        </w:tc>
      </w:tr>
    </w:tbl>
    <w:p>
      <w:r>
        <w:rPr>
          <w:i/>
          <w:color w:val="555B66"/>
          <w:sz w:val="19"/>
        </w:rPr>
        <w:t>Total: 450 minutes (7.5 hours) of instructional time, plus a 30-minute lunch — 480 minutes elapsed, 9:30am–5:30pm.</w:t>
      </w:r>
    </w:p>
    <w:p>
      <w:pPr>
        <w:pStyle w:val="Heading1"/>
      </w:pPr>
      <w:r>
        <w:t>Topic-by-Topic Breakdown</w:t>
      </w:r>
    </w:p>
    <w:p>
      <w:pPr>
        <w:pStyle w:val="Heading2"/>
      </w:pPr>
      <w:r>
        <w:t>LU1 — Foundations of Selling · Slide 9</w:t>
      </w:r>
    </w:p>
    <w:p>
      <w:r>
        <w:t>Mindset · Empathy · Sales Strategy · Buyer Psychology · Discovery</w:t>
      </w:r>
    </w:p>
    <w:p>
      <w:r>
        <w:rPr>
          <w:b/>
        </w:rPr>
        <w:t>Key concepts:</w:t>
      </w:r>
    </w:p>
    <w:p>
      <w:pPr>
        <w:pStyle w:val="ListBullet"/>
      </w:pPr>
      <w:r>
        <w:t>Selling is a human, empathy-driven conversation — mindset shapes the outcome before any technique does.</w:t>
      </w:r>
    </w:p>
    <w:p>
      <w:pPr>
        <w:pStyle w:val="ListBullet"/>
      </w:pPr>
      <w:r>
        <w:t>Empathy is a trainable skill, not a personality trait: see their world, suspend judgement, and name the emotion out loud (affect labelling).</w:t>
      </w:r>
    </w:p>
    <w:p>
      <w:pPr>
        <w:pStyle w:val="ListBullet"/>
      </w:pPr>
      <w:r>
        <w:t>A sales strategy starts with the math of sales — leads to conversations to proposals to closes — and a written goal for every call.</w:t>
      </w:r>
    </w:p>
    <w:p>
      <w:pPr>
        <w:pStyle w:val="ListBullet"/>
      </w:pPr>
      <w:r>
        <w:t>Buyer psychology (Cialdini's principles, the buyer's matrix, the illusion of choice) shapes how a prospect actually decides.</w:t>
      </w:r>
    </w:p>
    <w:p>
      <w:pPr>
        <w:pStyle w:val="ListBullet"/>
      </w:pPr>
      <w:r>
        <w:t>Discovery uses Bucket, Why-Why-Why, SPIN and Gap questions, always with permission, to uncover the real need before recommending anything.</w:t>
      </w:r>
    </w:p>
    <w:p>
      <w:pPr>
        <w:pStyle w:val="Heading3"/>
      </w:pPr>
      <w:r>
        <w:t>Activity 1 — Role Play: Foundations of Selling · Slide 40</w:t>
      </w:r>
    </w:p>
    <w:p>
      <w:r>
        <w:t>Objective: apply mindset, empathy, buyer psychology and discovery questioning in a live sales call.</w:t>
      </w:r>
    </w:p>
    <w:p>
      <w:r>
        <w:t>Scenario: Jessica is a sales rep for CloudFlow, a cloud-based project-management platform. John is a project manager at Sunrise Builders, a mid-sized construction firm in Singapore, where every job is tracked on shared spreadsheets. Since the team grew from 8 to 19, two handover deadlines have slipped because updates never reached the right person — and John's director asked him about it in front of the team. This is Jessica's first real conversation with John. Her goal for the call is NOT to sell software: it is to earn enough trust to run a genuine discovery conversation. John has sat through several demos before, bought a tool two years ago that nobody adopted, and is quietly testing whether this rep is any different. The scene runs from the opening minute — mindset, rapport, permission to ask — through discovery using Why-Why-Why and Gap questions, into a solution shaped by what John actually said, addressing his fear of another failed rollout, and closing on one concrete next step.</w:t>
      </w:r>
    </w:p>
    <w:p>
      <w:r>
        <w:t>Duration: 1 hour. Facilitation pack: activities/Activity-01-*/</w:t>
      </w:r>
    </w:p>
    <w:p>
      <w:pPr>
        <w:pStyle w:val="Heading2"/>
      </w:pPr>
      <w:r>
        <w:t>LU2 — Selling Techniques &amp; Problem-Solving · Slide 46</w:t>
      </w:r>
    </w:p>
    <w:p>
      <w:r>
        <w:t>Problem-Based Selling · Demos · Upselling &amp; Cross-Selling · Personalisation · Champions</w:t>
      </w:r>
    </w:p>
    <w:p>
      <w:r>
        <w:rPr>
          <w:b/>
        </w:rPr>
        <w:t>Key concepts:</w:t>
      </w:r>
    </w:p>
    <w:p>
      <w:pPr>
        <w:pStyle w:val="ListBullet"/>
      </w:pPr>
      <w:r>
        <w:t>Problem-based selling and 'What Would Your Customer Say?' put the customer's own words — not the salesperson's script — at the centre of the pitch.</w:t>
      </w:r>
    </w:p>
    <w:p>
      <w:pPr>
        <w:pStyle w:val="ListBullet"/>
      </w:pPr>
      <w:r>
        <w:t>A great demo Educates (the what), Demonstrates (the how) and builds Buy-In (the why) — in that order, never skipped.</w:t>
      </w:r>
    </w:p>
    <w:p>
      <w:pPr>
        <w:pStyle w:val="ListBullet"/>
      </w:pPr>
      <w:r>
        <w:t>Upselling and cross-selling only land once the customer has realised value from what they already bought, and only when the add-on is genuinely relevant.</w:t>
      </w:r>
    </w:p>
    <w:p>
      <w:pPr>
        <w:pStyle w:val="ListBullet"/>
      </w:pPr>
      <w:r>
        <w:t>Personalisation means proving you remember what they told you — and adapting to the analytical, relationship, decisive or cautious buyer in front of you.</w:t>
      </w:r>
    </w:p>
    <w:p>
      <w:pPr>
        <w:pStyle w:val="ListBullet"/>
      </w:pPr>
      <w:r>
        <w:t>Champion Selling equips someone inside the organisation to win the argument you will never be in the room for.</w:t>
      </w:r>
    </w:p>
    <w:p>
      <w:pPr>
        <w:pStyle w:val="Heading3"/>
      </w:pPr>
      <w:r>
        <w:t>Activity 2 — Role Play: Selling Techniques &amp; Problem-Solving · Slide 75</w:t>
      </w:r>
    </w:p>
    <w:p>
      <w:r>
        <w:t>Objective: run a problem-led demo, apply mini closes, and time an upsell correctly.</w:t>
      </w:r>
    </w:p>
    <w:p>
      <w:r>
        <w:t>Scenario: Alex is a sales rep for a CRM platform. Emma is Marketing Director at Northlight Retail, a growing Singapore chain with 14 outlets. Her team runs campaigns from a mix of spreadsheets, a mailing tool and WhatsApp groups. Last quarter a promotion went out twice to the same 4,000 customers, and a complaint reached the CEO. Emma has already had one discovery call with Alex and agreed to a 45-minute demo. She is genuinely interested but has two unspoken worries: her team is not technical, and she has to justify any new spend to a finance director who has just frozen new software purchases. The scene covers the demo itself — Educate, Demonstrate, Buy-In — with mini closes along the way, then Emma's concern about ease of use, and finally Alex's decision about whether (and when) to raise the automation add-on that would genuinely help her, without derailing the core deal.</w:t>
      </w:r>
    </w:p>
    <w:p>
      <w:r>
        <w:t>Duration: 1 hour. Facilitation pack: activities/Activity-02-*/</w:t>
      </w:r>
    </w:p>
    <w:p>
      <w:pPr>
        <w:pStyle w:val="Heading2"/>
      </w:pPr>
      <w:r>
        <w:t>LU3 — Closing the Sale · Slide 81</w:t>
      </w:r>
    </w:p>
    <w:p>
      <w:r>
        <w:t>Buying Signals · Closing Techniques · Justifying Price · Easy to Buy · Follow-Up</w:t>
      </w:r>
    </w:p>
    <w:p>
      <w:r>
        <w:rPr>
          <w:b/>
        </w:rPr>
        <w:t>Key concepts:</w:t>
      </w:r>
    </w:p>
    <w:p>
      <w:pPr>
        <w:pStyle w:val="ListBullet"/>
      </w:pPr>
      <w:r>
        <w:t>A close is the culmination of the whole sales cycle, not a single trick — read verbal, behavioural and digital buying signals before you ever ask.</w:t>
      </w:r>
    </w:p>
    <w:p>
      <w:pPr>
        <w:pStyle w:val="ListBullet"/>
      </w:pPr>
      <w:r>
        <w:t>Choose an ethical close that fits the moment — Summary, Thermometer, Test Drive or Empathy Close — never manufactured urgency or pressure.</w:t>
      </w:r>
    </w:p>
    <w:p>
      <w:pPr>
        <w:pStyle w:val="ListBullet"/>
      </w:pPr>
      <w:r>
        <w:t>Justify price with value and ROI before discounting is even on the table; frequent discounting quietly devalues everything else you said.</w:t>
      </w:r>
    </w:p>
    <w:p>
      <w:pPr>
        <w:pStyle w:val="ListBullet"/>
      </w:pPr>
      <w:r>
        <w:t>Make it easy to buy: simple contracts, a dated mutual action plan with named owners, and de-risked options like a pilot.</w:t>
      </w:r>
    </w:p>
    <w:p>
      <w:pPr>
        <w:pStyle w:val="ListBullet"/>
      </w:pPr>
      <w:r>
        <w:t>Follow up properly: 80% of sales need 5-12 touches across a 17-21 day window, and every touch must carry new value.</w:t>
      </w:r>
    </w:p>
    <w:p>
      <w:pPr>
        <w:pStyle w:val="Heading3"/>
      </w:pPr>
      <w:r>
        <w:t>Activity 3 — Role Play: Closing the Sale · Slide 111</w:t>
      </w:r>
    </w:p>
    <w:p>
      <w:r>
        <w:t>Objective: read buying signals, justify price without discounting, and close with a mutual next step.</w:t>
      </w:r>
    </w:p>
    <w:p>
      <w:r>
        <w:t>Scenario: Mark sells a marketing-automation platform. Rachel is Marketing Director at Harbourfront Living, a large Singapore e-commerce retailer. Over three conversations Mark has shown that automating their abandoned-cart and re-order campaigns would recover an estimated S$140k a year in lost revenue. Rachel wants it. But her budget for the year is committed, and her CFO has asked every department to defer new software to the next financial year. She opens this call by asking for a 25% discount — which is not really about the money. The scene covers reading Rachel's buying signals, holding the price while genuinely solving her budget-timing problem, using a mini close to confirm agreement in stages, making the buying process easy, and closing on a concrete mutual action plan with dates and owners.</w:t>
      </w:r>
    </w:p>
    <w:p>
      <w:r>
        <w:t>Duration: 1 hour. Facilitation pack: activities/Activity-03-*/</w:t>
      </w:r>
    </w:p>
    <w:p>
      <w:pPr>
        <w:pStyle w:val="Heading2"/>
      </w:pPr>
      <w:r>
        <w:t>LU4 — Handling Objections &amp; Rejections · Slide 117</w:t>
      </w:r>
    </w:p>
    <w:p>
      <w:r>
        <w:t>Objection vs Deflection vs Rejection · Answer &amp; Ask · Composure · Testimonials · Metrics</w:t>
      </w:r>
    </w:p>
    <w:p>
      <w:r>
        <w:rPr>
          <w:b/>
        </w:rPr>
        <w:t>Key concepts:</w:t>
      </w:r>
    </w:p>
    <w:p>
      <w:pPr>
        <w:pStyle w:val="ListBullet"/>
      </w:pPr>
      <w:r>
        <w:t>An objection asks for more information, a deflection avoids the real issue, and a rejection is a genuine no — each needs a different response.</w:t>
      </w:r>
    </w:p>
    <w:p>
      <w:pPr>
        <w:pStyle w:val="ListBullet"/>
      </w:pPr>
      <w:r>
        <w:t>Acknowledge, Clarify, Address, Confirm — validate the feeling before you answer the fact, then isolate with 'outside of that, anything else?'.</w:t>
      </w:r>
    </w:p>
    <w:p>
      <w:pPr>
        <w:pStyle w:val="ListBullet"/>
      </w:pPr>
      <w:r>
        <w:t>Answer &amp; Ask resolves the stated concern directly, then re-engages the conversation with a question instead of going quiet.</w:t>
      </w:r>
    </w:p>
    <w:p>
      <w:pPr>
        <w:pStyle w:val="ListBullet"/>
      </w:pPr>
      <w:r>
        <w:t>Composure is trainable: pause, label, reframe, respond, reassess — your own regulation protects the deal when the buyer gets short.</w:t>
      </w:r>
    </w:p>
    <w:p>
      <w:pPr>
        <w:pStyle w:val="ListBullet"/>
      </w:pPr>
      <w:r>
        <w:t>Metrics — conversion rate, cycle length, discount depth, NPS at handoff — turn 'closing better' into something the organisation can track and improve.</w:t>
      </w:r>
    </w:p>
    <w:p>
      <w:pPr>
        <w:pStyle w:val="Heading3"/>
      </w:pPr>
      <w:r>
        <w:t>Activity 4 — Role Play: Handling Objections &amp; Rejections · Slide 147</w:t>
      </w:r>
    </w:p>
    <w:p>
      <w:r>
        <w:t>Objective: diagnose and respond to objections, deflections and a rejection using empathy-first technique.</w:t>
      </w:r>
    </w:p>
    <w:p>
      <w:r>
        <w:t>Scenario: Sophie sells a high-end home security system. Tom is a homeowner in Bukit Timah whose neighbour was burgled six weeks ago. He requested the quotation himself, sat through the full home assessment, and agreed the system is exactly what he wants. Then the price came up. Tom's first response is that it costs more than he wanted to spend — but he does not say that his real constraint is a renovation bill arriving next month, and he is slightly embarrassed about it. Later in the conversation he attempts an outright rejection to end the discomfort. The scene requires Sophie to tell an objection from a deflection from a genuine rejection, validate before solving, use Answer &amp; Ask and a well-matched testimonial, stay composed when Tom becomes short with her, and handle the rejection attempt in a way that keeps the relationship — and the door — open.</w:t>
      </w:r>
    </w:p>
    <w:p>
      <w:r>
        <w:t>Duration: 1 hour. Facilitation pack: activities/Activity-04-*/</w:t>
      </w:r>
    </w:p>
    <w:p>
      <w:pPr>
        <w:pStyle w:val="Heading1"/>
      </w:pPr>
      <w:r>
        <w:t>Resources Required</w:t>
      </w:r>
    </w:p>
    <w:p>
      <w:pPr>
        <w:pStyle w:val="ListBullet"/>
      </w:pPr>
      <w:r>
        <w:t>Projector/screen and PA system for the trainer's slide deck.</w:t>
      </w:r>
    </w:p>
    <w:p>
      <w:pPr>
        <w:pStyle w:val="ListBullet"/>
      </w:pPr>
      <w:r>
        <w:t>Whiteboard/flip chart and markers for role-play observer notes.</w:t>
      </w:r>
    </w:p>
    <w:p>
      <w:pPr>
        <w:pStyle w:val="ListBullet"/>
      </w:pPr>
      <w:r>
        <w:t>Printed or digital copies of the Learner Guide for every learner.</w:t>
      </w:r>
    </w:p>
    <w:p>
      <w:pPr>
        <w:pStyle w:val="ListBullet"/>
      </w:pPr>
      <w:r>
        <w:t>Flip chart papers and markers; paper tape / Blu Tac.</w:t>
      </w:r>
    </w:p>
    <w:sectPr w:rsidR="00FC693F" w:rsidRPr="0006063C" w:rsidSect="00034616">
      <w:footerReference w:type="default" r:id="rId10"/>
      <w:head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