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B6E99"/>
          <w:sz w:val="30"/>
        </w:rPr>
        <w:t>TERTIARY INFOTECH ACADEMY</w:t>
      </w:r>
    </w:p>
    <w:p>
      <w:pPr>
        <w:pStyle w:val="Title"/>
        <w:jc w:val="center"/>
      </w:pPr>
      <w:r>
        <w:t>React AI Vibe Coding for React Development</w:t>
      </w:r>
    </w:p>
    <w:p>
      <w:pPr>
        <w:jc w:val="center"/>
      </w:pPr>
      <w:r>
        <w:rPr>
          <w:b/>
        </w:rPr>
        <w:t>Lesson Plan</w:t>
        <w:br/>
        <w:t>Course Code: C1143</w:t>
        <w:br/>
        <w:t>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DEBF7"/>
          </w:tcPr>
          <w:p>
            <w:r>
              <w:t>Duration</w:t>
            </w:r>
          </w:p>
        </w:tc>
        <w:tc>
          <w:tcPr>
            <w:tcW w:type="dxa" w:w="4968"/>
          </w:tcPr>
          <w:p>
            <w:r>
              <w:t>15 hours / 2 days</w:t>
            </w:r>
          </w:p>
        </w:tc>
      </w:tr>
      <w:tr>
        <w:tc>
          <w:tcPr>
            <w:tcW w:type="dxa" w:w="4968"/>
            <w:shd w:fill="DDEBF7"/>
          </w:tcPr>
          <w:p>
            <w:r>
              <w:t>Level</w:t>
            </w:r>
          </w:p>
        </w:tc>
        <w:tc>
          <w:tcPr>
            <w:tcW w:type="dxa" w:w="4968"/>
          </w:tcPr>
          <w:p>
            <w:r>
              <w:t>Intermediate</w:t>
            </w:r>
          </w:p>
        </w:tc>
      </w:tr>
      <w:tr>
        <w:tc>
          <w:tcPr>
            <w:tcW w:type="dxa" w:w="4968"/>
            <w:shd w:fill="DDEBF7"/>
          </w:tcPr>
          <w:p>
            <w:r>
              <w:t>Delivery</w:t>
            </w:r>
          </w:p>
        </w:tc>
        <w:tc>
          <w:tcPr>
            <w:tcW w:type="dxa" w:w="4968"/>
          </w:tcPr>
          <w:p>
            <w:r>
              <w:t>Instructor-led with guided hands-on practice</w:t>
            </w:r>
          </w:p>
        </w:tc>
      </w:tr>
      <w:tr>
        <w:tc>
          <w:tcPr>
            <w:tcW w:type="dxa" w:w="4968"/>
            <w:shd w:fill="DDEBF7"/>
          </w:tcPr>
          <w:p>
            <w:r>
              <w:t>Source alignment</w:t>
            </w:r>
          </w:p>
        </w:tc>
        <w:tc>
          <w:tcPr>
            <w:tcW w:type="dxa" w:w="4968"/>
          </w:tcPr>
          <w:p>
            <w:r>
              <w:t>Published C1143 React topic sequence</w:t>
            </w:r>
          </w:p>
        </w:tc>
      </w:tr>
    </w:tbl>
    <w:p>
      <w:r>
        <w:br w:type="page"/>
      </w:r>
    </w:p>
    <w:p>
      <w:pPr>
        <w:pStyle w:val="Heading1"/>
      </w:pPr>
      <w:r>
        <w:t>Document Version Control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B6E99"/>
          </w:tcPr>
          <w:p>
            <w:r>
              <w:rPr>
                <w:color w:val="FFFFFF"/>
              </w:rPr>
              <w:t>Version</w:t>
            </w:r>
          </w:p>
        </w:tc>
        <w:tc>
          <w:tcPr>
            <w:tcW w:type="dxa" w:w="2484"/>
            <w:shd w:fill="0B6E99"/>
          </w:tcPr>
          <w:p>
            <w:r>
              <w:rPr>
                <w:color w:val="FFFFFF"/>
              </w:rPr>
              <w:t>Date</w:t>
            </w:r>
          </w:p>
        </w:tc>
        <w:tc>
          <w:tcPr>
            <w:tcW w:type="dxa" w:w="2484"/>
            <w:shd w:fill="0B6E99"/>
          </w:tcPr>
          <w:p>
            <w:r>
              <w:rPr>
                <w:color w:val="FFFFFF"/>
              </w:rPr>
              <w:t>Author</w:t>
            </w:r>
          </w:p>
        </w:tc>
        <w:tc>
          <w:tcPr>
            <w:tcW w:type="dxa" w:w="2484"/>
            <w:shd w:fill="0B6E99"/>
          </w:tcPr>
          <w:p>
            <w:r>
              <w:rPr>
                <w:color w:val="FFFFFF"/>
              </w:rPr>
              <w:t>Change</w:t>
            </w:r>
          </w:p>
        </w:tc>
      </w:tr>
      <w:tr>
        <w:tc>
          <w:tcPr>
            <w:tcW w:type="dxa" w:w="2484"/>
          </w:tcPr>
          <w:p>
            <w:r>
              <w:t>1.0</w:t>
            </w:r>
          </w:p>
        </w:tc>
        <w:tc>
          <w:tcPr>
            <w:tcW w:type="dxa" w:w="2484"/>
          </w:tcPr>
          <w:p>
            <w:r>
              <w:t>11 July 2026</w:t>
            </w:r>
          </w:p>
        </w:tc>
        <w:tc>
          <w:tcPr>
            <w:tcW w:type="dxa" w:w="2484"/>
          </w:tcPr>
          <w:p>
            <w:r>
              <w:t>Tertiary Infotech Academy</w:t>
            </w:r>
          </w:p>
        </w:tc>
        <w:tc>
          <w:tcPr>
            <w:tcW w:type="dxa" w:w="2484"/>
          </w:tcPr>
          <w:p>
            <w:r>
              <w:t>Initial non-WSQ release</w:t>
            </w:r>
          </w:p>
        </w:tc>
      </w:tr>
    </w:tbl>
    <w:p>
      <w:pPr>
        <w:pStyle w:val="Heading1"/>
      </w:pPr>
      <w:r>
        <w:t>Table of Contents</w:t>
      </w:r>
    </w:p>
    <w:p>
      <w:r>
        <w:t>Update this automatic table in Microsoft Word: References → Update Table.</w:t>
      </w:r>
    </w:p>
    <w:p>
      <w:pPr>
        <w:pStyle w:val="Heading1"/>
      </w:pPr>
      <w:r>
        <w:t>Facilitation Intent</w:t>
      </w:r>
    </w:p>
    <w:p>
      <w:r>
        <w:t>Guide learners from a blank Vite project to a tested, deployed React single-page application while modelling safe, reviewable AI collaboration. Progress is checked through demonstrations, questions, and lab evidence.</w:t>
      </w:r>
    </w:p>
    <w:p>
      <w:pPr>
        <w:pStyle w:val="Heading1"/>
      </w:pPr>
      <w:r>
        <w:t>Session Plan — 900 instructional minutes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B6E99"/>
          </w:tcPr>
          <w:p>
            <w:r>
              <w:rPr>
                <w:color w:val="FFFFFF"/>
              </w:rPr>
              <w:t>Segment</w:t>
            </w:r>
          </w:p>
        </w:tc>
        <w:tc>
          <w:tcPr>
            <w:tcW w:type="dxa" w:w="3312"/>
            <w:shd w:fill="0B6E99"/>
          </w:tcPr>
          <w:p>
            <w:r>
              <w:rPr>
                <w:color w:val="FFFFFF"/>
              </w:rPr>
              <w:t>Minutes</w:t>
            </w:r>
          </w:p>
        </w:tc>
        <w:tc>
          <w:tcPr>
            <w:tcW w:type="dxa" w:w="3312"/>
            <w:shd w:fill="0B6E99"/>
          </w:tcPr>
          <w:p>
            <w:r>
              <w:rPr>
                <w:color w:val="FFFFFF"/>
              </w:rPr>
              <w:t>Observable outcome</w:t>
            </w:r>
          </w:p>
        </w:tc>
      </w:tr>
      <w:tr>
        <w:tc>
          <w:tcPr>
            <w:tcW w:type="dxa" w:w="3312"/>
          </w:tcPr>
          <w:p>
            <w:r>
              <w:t>Day 1: welcome, setup and review loop</w:t>
            </w:r>
          </w:p>
        </w:tc>
        <w:tc>
          <w:tcPr>
            <w:tcW w:type="dxa" w:w="3312"/>
          </w:tcPr>
          <w:p>
            <w:r>
              <w:t>45</w:t>
            </w:r>
          </w:p>
        </w:tc>
        <w:tc>
          <w:tcPr>
            <w:tcW w:type="dxa" w:w="3312"/>
          </w:tcPr>
          <w:p>
            <w:r>
              <w:t>Readiness check; define plan–diff–verify workflow</w:t>
            </w:r>
          </w:p>
        </w:tc>
      </w:tr>
      <w:tr>
        <w:tc>
          <w:tcPr>
            <w:tcW w:type="dxa" w:w="3312"/>
          </w:tcPr>
          <w:p>
            <w:r>
              <w:t>Topic 1 + Lab 1</w:t>
            </w:r>
          </w:p>
        </w:tc>
        <w:tc>
          <w:tcPr>
            <w:tcW w:type="dxa" w:w="3312"/>
          </w:tcPr>
          <w:p>
            <w:r>
              <w:t>180</w:t>
            </w:r>
          </w:p>
        </w:tc>
        <w:tc>
          <w:tcPr>
            <w:tcW w:type="dxa" w:w="3312"/>
          </w:tcPr>
          <w:p>
            <w:r>
              <w:t>Vite baseline and AI coding contract</w:t>
            </w:r>
          </w:p>
        </w:tc>
      </w:tr>
      <w:tr>
        <w:tc>
          <w:tcPr>
            <w:tcW w:type="dxa" w:w="3312"/>
          </w:tcPr>
          <w:p>
            <w:r>
              <w:t>Topic 2 + Lab 2</w:t>
            </w:r>
          </w:p>
        </w:tc>
        <w:tc>
          <w:tcPr>
            <w:tcW w:type="dxa" w:w="3312"/>
          </w:tcPr>
          <w:p>
            <w:r>
              <w:t>210</w:t>
            </w:r>
          </w:p>
        </w:tc>
        <w:tc>
          <w:tcPr>
            <w:tcW w:type="dxa" w:w="3312"/>
          </w:tcPr>
          <w:p>
            <w:r>
              <w:t>JSX, components, props, events and responsive UI</w:t>
            </w:r>
          </w:p>
        </w:tc>
      </w:tr>
      <w:tr>
        <w:tc>
          <w:tcPr>
            <w:tcW w:type="dxa" w:w="3312"/>
          </w:tcPr>
          <w:p>
            <w:r>
              <w:t>Day 1 consolidation</w:t>
            </w:r>
          </w:p>
        </w:tc>
        <w:tc>
          <w:tcPr>
            <w:tcW w:type="dxa" w:w="3312"/>
          </w:tcPr>
          <w:p>
            <w:r>
              <w:t>15</w:t>
            </w:r>
          </w:p>
        </w:tc>
        <w:tc>
          <w:tcPr>
            <w:tcW w:type="dxa" w:w="3312"/>
          </w:tcPr>
          <w:p>
            <w:r>
              <w:t>Demonstrate the reusable SprintBoard UI</w:t>
            </w:r>
          </w:p>
        </w:tc>
      </w:tr>
      <w:tr>
        <w:tc>
          <w:tcPr>
            <w:tcW w:type="dxa" w:w="3312"/>
          </w:tcPr>
          <w:p>
            <w:r>
              <w:t>Day 2: recap and restore checkpoint</w:t>
            </w:r>
          </w:p>
        </w:tc>
        <w:tc>
          <w:tcPr>
            <w:tcW w:type="dxa" w:w="3312"/>
          </w:tcPr>
          <w:p>
            <w:r>
              <w:t>30</w:t>
            </w:r>
          </w:p>
        </w:tc>
        <w:tc>
          <w:tcPr>
            <w:tcW w:type="dxa" w:w="3312"/>
          </w:tcPr>
          <w:p>
            <w:r>
              <w:t>Re-establish a trusted starting state</w:t>
            </w:r>
          </w:p>
        </w:tc>
      </w:tr>
      <w:tr>
        <w:tc>
          <w:tcPr>
            <w:tcW w:type="dxa" w:w="3312"/>
          </w:tcPr>
          <w:p>
            <w:r>
              <w:t>Topic 3 + Lab 3</w:t>
            </w:r>
          </w:p>
        </w:tc>
        <w:tc>
          <w:tcPr>
            <w:tcW w:type="dxa" w:w="3312"/>
          </w:tcPr>
          <w:p>
            <w:r>
              <w:t>240</w:t>
            </w:r>
          </w:p>
        </w:tc>
        <w:tc>
          <w:tcPr>
            <w:tcW w:type="dxa" w:w="3312"/>
          </w:tcPr>
          <w:p>
            <w:r>
              <w:t>State, hooks, routing, API states and refactoring</w:t>
            </w:r>
          </w:p>
        </w:tc>
      </w:tr>
      <w:tr>
        <w:tc>
          <w:tcPr>
            <w:tcW w:type="dxa" w:w="3312"/>
          </w:tcPr>
          <w:p>
            <w:r>
              <w:t>Topic 4 + Lab 4</w:t>
            </w:r>
          </w:p>
        </w:tc>
        <w:tc>
          <w:tcPr>
            <w:tcW w:type="dxa" w:w="3312"/>
          </w:tcPr>
          <w:p>
            <w:r>
              <w:t>165</w:t>
            </w:r>
          </w:p>
        </w:tc>
        <w:tc>
          <w:tcPr>
            <w:tcW w:type="dxa" w:w="3312"/>
          </w:tcPr>
          <w:p>
            <w:r>
              <w:t>Debugging, tests, optimization and deployment</w:t>
            </w:r>
          </w:p>
        </w:tc>
      </w:tr>
      <w:tr>
        <w:tc>
          <w:tcPr>
            <w:tcW w:type="dxa" w:w="3312"/>
          </w:tcPr>
          <w:p>
            <w:r>
              <w:t>Showcase and consolidation</w:t>
            </w:r>
          </w:p>
        </w:tc>
        <w:tc>
          <w:tcPr>
            <w:tcW w:type="dxa" w:w="3312"/>
          </w:tcPr>
          <w:p>
            <w:r>
              <w:t>15</w:t>
            </w:r>
          </w:p>
        </w:tc>
        <w:tc>
          <w:tcPr>
            <w:tcW w:type="dxa" w:w="3312"/>
          </w:tcPr>
          <w:p>
            <w:r>
              <w:t>Demonstrate deployed app and evidence trail</w:t>
            </w:r>
          </w:p>
        </w:tc>
      </w:tr>
    </w:tbl>
    <w:p>
      <w:pPr>
        <w:pStyle w:val="Heading1"/>
      </w:pPr>
      <w:r>
        <w:t>Facilitator Notes by Topic</w:t>
      </w:r>
    </w:p>
    <w:p>
      <w:pPr>
        <w:pStyle w:val="Heading2"/>
      </w:pPr>
      <w:r>
        <w:t>Topic 1 — Getting Started with AI Vibe Coding for React</w:t>
      </w:r>
    </w:p>
    <w:p>
      <w:r>
        <w:t>Set up an AI coding assistant, scaffold a Vite React app from a prompt, and establish a plan–diff–verify workflow.</w:t>
      </w:r>
    </w:p>
    <w:p>
      <w:r>
        <w:t>Demonstration: show the Lab 1 checkpoint. Guided practice: learners execute in pairs, inspect the agent plan and compare diffs. Progress check: ask one learner to explain the verification evidence before accepting the change.</w:t>
      </w:r>
    </w:p>
    <w:p>
      <w:pPr>
        <w:pStyle w:val="Heading2"/>
      </w:pPr>
      <w:r>
        <w:t>Topic 2 — Building React Components and UI with AI</w:t>
      </w:r>
    </w:p>
    <w:p>
      <w:r>
        <w:t>Generate function components and JSX, compose reusable UI, pass data with props, handle events, and refine AI-generated CSS.</w:t>
      </w:r>
    </w:p>
    <w:p>
      <w:r>
        <w:t>Demonstration: show the Lab 2 checkpoint. Guided practice: learners execute in pairs, inspect the agent plan and compare diffs. Progress check: ask one learner to explain the verification evidence before accepting the change.</w:t>
      </w:r>
    </w:p>
    <w:p>
      <w:pPr>
        <w:pStyle w:val="Heading2"/>
      </w:pPr>
      <w:r>
        <w:t>Topic 3 — State, Hooks and Routing with AI Assistance</w:t>
      </w:r>
    </w:p>
    <w:p>
      <w:r>
        <w:t>Manage state and effects, add React Router, fetch API data, and refactor generated code without changing behavior.</w:t>
      </w:r>
    </w:p>
    <w:p>
      <w:r>
        <w:t>Demonstration: show the Lab 3 checkpoint. Guided practice: learners execute in pairs, inspect the agent plan and compare diffs. Progress check: ask one learner to explain the verification evidence before accepting the change.</w:t>
      </w:r>
    </w:p>
    <w:p>
      <w:pPr>
        <w:pStyle w:val="Heading2"/>
      </w:pPr>
      <w:r>
        <w:t>Topic 4 — Debugging, Testing and Deploying React Apps with AI</w:t>
      </w:r>
    </w:p>
    <w:p>
      <w:r>
        <w:t>Diagnose failures, generate focused unit tests, optimize and document code, and deploy a verified production build.</w:t>
      </w:r>
    </w:p>
    <w:p>
      <w:r>
        <w:t>Demonstration: show the Lab 4 checkpoint. Guided practice: learners execute in pairs, inspect the agent plan and compare diffs. Progress check: ask one learner to explain the verification evidence before accepting the change.</w:t>
      </w:r>
    </w:p>
    <w:p>
      <w:pPr>
        <w:pStyle w:val="Heading1"/>
      </w:pPr>
      <w:r>
        <w:t>Resources and Contingencies</w:t>
      </w:r>
    </w:p>
    <w:p>
      <w:pPr>
        <w:pStyle w:val="ListBullet"/>
      </w:pPr>
      <w:r>
        <w:t>Trainer reference project with checkpoint branches lab-1 through lab-4.</w:t>
      </w:r>
    </w:p>
    <w:p>
      <w:pPr>
        <w:pStyle w:val="ListBullet"/>
      </w:pPr>
      <w:r>
        <w:t>Synthetic task data; no live services or credentials.</w:t>
      </w:r>
    </w:p>
    <w:p>
      <w:pPr>
        <w:pStyle w:val="ListBullet"/>
      </w:pPr>
      <w:r>
        <w:t>If internet access fails, use the local JSON fixture and defer deployment while completing the production build.</w:t>
      </w:r>
    </w:p>
    <w:p>
      <w:pPr>
        <w:pStyle w:val="ListBullet"/>
      </w:pPr>
      <w:r>
        <w:t>If an AI service is unavailable, provide prepared plans and diffs for manual critique.</w:t>
      </w:r>
    </w:p>
    <w:p>
      <w:pPr>
        <w:pStyle w:val="Heading1"/>
      </w:pPr>
      <w:r>
        <w:t>Closing Reflection</w:t>
      </w:r>
    </w:p>
    <w:p>
      <w:r>
        <w:t>Each learner demonstrates one working behavior, identifies one risk in an AI suggestion, and states the command or device check used to verify the final code.</w:t>
      </w:r>
    </w:p>
    <w:sectPr w:rsidR="00FC693F" w:rsidRPr="0006063C" w:rsidSect="00034616">
      <w:footerReference w:type="default" r:id="rId9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Tertiary Infotech Academy Pte Ltd  |  C1143  |  Lesson Plan  | 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B6E9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B6E9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