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SQL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C1154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AI Vibe Coding for SQL release with 11 browser SQLite labs, aligned slides and AI prompt validation controls.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AI Vibe Coding for SQL</w:t>
            </w:r>
          </w:p>
        </w:tc>
      </w:tr>
      <w:tr>
        <w:tc>
          <w:tcPr>
            <w:tcW w:type="dxa" w:w="4320"/>
          </w:tcPr>
          <w:p>
            <w:r>
              <w:t>Course Code</w:t>
            </w:r>
          </w:p>
        </w:tc>
        <w:tc>
          <w:tcPr>
            <w:tcW w:type="dxa" w:w="4320"/>
          </w:tcPr>
          <w:p>
            <w:r>
              <w:t>C1154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 day · 7.5 instructional hours (9:30am – 5:30pm)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Instructor-led, hands-on browser SQLite applications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data modelling.</w:t>
      </w:r>
    </w:p>
    <w:p>
      <w:pPr>
        <w:pStyle w:val="ListBullet"/>
      </w:pPr>
      <w:r>
        <w:t>LO2: Apply data processing and analysis.</w:t>
      </w:r>
    </w:p>
    <w:p>
      <w:pPr>
        <w:pStyle w:val="ListBullet"/>
      </w:pPr>
      <w:r>
        <w:t>LO3: Apply data aggregation and transformation.</w:t>
      </w:r>
    </w:p>
    <w:p>
      <w:pPr>
        <w:pStyle w:val="ListBullet"/>
      </w:pPr>
      <w:r>
        <w:t>LO4: Perform data mapping to a data warehouse.</w:t>
      </w:r>
    </w:p>
    <w:p>
      <w:pPr>
        <w:pStyle w:val="Heading1"/>
      </w:pPr>
      <w:r>
        <w:t>Schedule and Slide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Learning Activity</w:t>
            </w:r>
          </w:p>
        </w:tc>
        <w:tc>
          <w:tcPr>
            <w:tcW w:type="dxa" w:w="2160"/>
          </w:tcPr>
          <w:p>
            <w:r>
              <w:t>Slides</w:t>
            </w:r>
          </w:p>
        </w:tc>
      </w:tr>
      <w:tr>
        <w:tc>
          <w:tcPr>
            <w:tcW w:type="dxa" w:w="2160"/>
          </w:tcPr>
          <w:p>
            <w:r>
              <w:t>09:30–10:00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Administration, course navigation and AI-to-SQL control loop</w:t>
            </w:r>
          </w:p>
        </w:tc>
        <w:tc>
          <w:tcPr>
            <w:tcW w:type="dxa" w:w="2160"/>
          </w:tcPr>
          <w:p>
            <w:r>
              <w:t>1–10</w:t>
            </w:r>
          </w:p>
        </w:tc>
      </w:tr>
      <w:tr>
        <w:tc>
          <w:tcPr>
            <w:tcW w:type="dxa" w:w="2160"/>
          </w:tcPr>
          <w:p>
            <w:r>
              <w:t>10:00–11:00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Topic 1 concepts and Lab 1</w:t>
            </w:r>
          </w:p>
        </w:tc>
        <w:tc>
          <w:tcPr>
            <w:tcW w:type="dxa" w:w="2160"/>
          </w:tcPr>
          <w:p>
            <w:r>
              <w:t>11–21</w:t>
            </w:r>
          </w:p>
        </w:tc>
      </w:tr>
      <w:tr>
        <w:tc>
          <w:tcPr>
            <w:tcW w:type="dxa" w:w="2160"/>
          </w:tcPr>
          <w:p>
            <w:r>
              <w:t>11:00–12:45</w:t>
            </w:r>
          </w:p>
        </w:tc>
        <w:tc>
          <w:tcPr>
            <w:tcW w:type="dxa" w:w="2160"/>
          </w:tcPr>
          <w:p>
            <w:r>
              <w:t>105 min</w:t>
            </w:r>
          </w:p>
        </w:tc>
        <w:tc>
          <w:tcPr>
            <w:tcW w:type="dxa" w:w="2160"/>
          </w:tcPr>
          <w:p>
            <w:r>
              <w:t>Topic 1 Labs 2–3 and Topic 2 concepts</w:t>
            </w:r>
          </w:p>
        </w:tc>
        <w:tc>
          <w:tcPr>
            <w:tcW w:type="dxa" w:w="2160"/>
          </w:tcPr>
          <w:p>
            <w:r>
              <w:t>22–39</w:t>
            </w:r>
          </w:p>
        </w:tc>
      </w:tr>
      <w:tr>
        <w:tc>
          <w:tcPr>
            <w:tcW w:type="dxa" w:w="2160"/>
          </w:tcPr>
          <w:p>
            <w:r>
              <w:t>12:45–13:15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Lunch break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13:15–14:30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2 Labs 4–6</w:t>
            </w:r>
          </w:p>
        </w:tc>
        <w:tc>
          <w:tcPr>
            <w:tcW w:type="dxa" w:w="2160"/>
          </w:tcPr>
          <w:p>
            <w:r>
              <w:t>40–56</w:t>
            </w:r>
          </w:p>
        </w:tc>
      </w:tr>
      <w:tr>
        <w:tc>
          <w:tcPr>
            <w:tcW w:type="dxa" w:w="2160"/>
          </w:tcPr>
          <w:p>
            <w:r>
              <w:t>14:30–15:45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3 Labs 7–9</w:t>
            </w:r>
          </w:p>
        </w:tc>
        <w:tc>
          <w:tcPr>
            <w:tcW w:type="dxa" w:w="2160"/>
          </w:tcPr>
          <w:p>
            <w:r>
              <w:t>57–79</w:t>
            </w:r>
          </w:p>
        </w:tc>
      </w:tr>
      <w:tr>
        <w:tc>
          <w:tcPr>
            <w:tcW w:type="dxa" w:w="2160"/>
          </w:tcPr>
          <w:p>
            <w:r>
              <w:t>15:45–17:00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4 Labs 10–11 + capstone evidence</w:t>
            </w:r>
          </w:p>
        </w:tc>
        <w:tc>
          <w:tcPr>
            <w:tcW w:type="dxa" w:w="2160"/>
          </w:tcPr>
          <w:p>
            <w:r>
              <w:t>80–97</w:t>
            </w:r>
          </w:p>
        </w:tc>
      </w:tr>
      <w:tr>
        <w:tc>
          <w:tcPr>
            <w:tcW w:type="dxa" w:w="2160"/>
          </w:tcPr>
          <w:p>
            <w:r>
              <w:t>17:00–17:30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Recap, practice plan and course feedback</w:t>
            </w:r>
          </w:p>
        </w:tc>
        <w:tc>
          <w:tcPr>
            <w:tcW w:type="dxa" w:w="2160"/>
          </w:tcPr>
          <w:p>
            <w:r>
              <w:t>98–101</w:t>
            </w:r>
          </w:p>
        </w:tc>
      </w:tr>
    </w:tbl>
    <w:p>
      <w:r>
        <w:t>Instructional time: 450 minutes (7.5 hours), 9:30am – 5:30pm, with a single 30-minute lunch break. Refreshments are taken during lab time.</w:t>
      </w:r>
    </w:p>
    <w:p>
      <w:pPr>
        <w:pStyle w:val="Heading1"/>
      </w:pPr>
      <w:r>
        <w:t>Facilitation and Evidence</w:t>
      </w:r>
    </w:p>
    <w:p>
      <w:pPr>
        <w:pStyle w:val="ListBullet"/>
      </w:pPr>
      <w:r>
        <w:t>Use concept/mechanism slides to frame each build; keep click paths in the Learner Guide.</w:t>
      </w:r>
    </w:p>
    <w:p>
      <w:pPr>
        <w:pStyle w:val="ListBullet"/>
      </w:pPr>
      <w:r>
        <w:t>Ask learners to predict result shape before executing AI-generated SQL.</w:t>
      </w:r>
    </w:p>
    <w:p>
      <w:pPr>
        <w:pStyle w:val="ListBullet"/>
      </w:pPr>
      <w:r>
        <w:t>Require prompt log, SQL, output, reconciliation and failure evidence for every lab.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